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4B18A" w14:textId="77777777" w:rsidR="002D0FCA" w:rsidRPr="00E764A7" w:rsidRDefault="002D0FCA" w:rsidP="00B700CA">
      <w:pPr>
        <w:widowControl w:val="0"/>
        <w:spacing w:line="480" w:lineRule="auto"/>
        <w:ind w:left="993" w:hanging="993"/>
        <w:jc w:val="center"/>
        <w:rPr>
          <w:rFonts w:cs="Arial"/>
          <w:b/>
          <w:sz w:val="22"/>
          <w:szCs w:val="22"/>
        </w:rPr>
      </w:pPr>
      <w:bookmarkStart w:id="0" w:name="_GoBack"/>
      <w:bookmarkEnd w:id="0"/>
      <w:r w:rsidRPr="00E764A7">
        <w:rPr>
          <w:rFonts w:cs="Arial"/>
          <w:b/>
          <w:sz w:val="22"/>
          <w:szCs w:val="22"/>
        </w:rPr>
        <w:t>1.</w:t>
      </w:r>
      <w:r w:rsidR="00754BD3">
        <w:rPr>
          <w:rFonts w:cs="Arial"/>
          <w:b/>
          <w:sz w:val="22"/>
          <w:szCs w:val="22"/>
        </w:rPr>
        <w:t>3</w:t>
      </w:r>
      <w:r w:rsidR="00027E79" w:rsidRPr="00E764A7">
        <w:rPr>
          <w:rFonts w:cs="Arial"/>
          <w:b/>
          <w:sz w:val="22"/>
          <w:szCs w:val="22"/>
        </w:rPr>
        <w:t>.1.1</w:t>
      </w:r>
      <w:r w:rsidR="00635652">
        <w:rPr>
          <w:rFonts w:cs="Arial"/>
          <w:b/>
          <w:sz w:val="22"/>
          <w:szCs w:val="22"/>
        </w:rPr>
        <w:tab/>
      </w:r>
      <w:r w:rsidRPr="00E764A7">
        <w:rPr>
          <w:rFonts w:cs="Arial"/>
          <w:b/>
          <w:sz w:val="22"/>
          <w:szCs w:val="22"/>
        </w:rPr>
        <w:t>PROFESSIONAL INFORMATION FOR MEDICINES FOR HUMAN USE</w:t>
      </w:r>
    </w:p>
    <w:p w14:paraId="3C3BC2B1" w14:textId="77777777" w:rsidR="00662549" w:rsidRPr="00635652" w:rsidRDefault="00662549" w:rsidP="00635652">
      <w:pPr>
        <w:widowControl w:val="0"/>
        <w:spacing w:line="480" w:lineRule="auto"/>
        <w:rPr>
          <w:rFonts w:cs="Arial"/>
          <w:sz w:val="22"/>
          <w:szCs w:val="22"/>
        </w:rPr>
      </w:pPr>
    </w:p>
    <w:p w14:paraId="2CBA04BF" w14:textId="77777777" w:rsidR="00B700CA" w:rsidRPr="00635652" w:rsidRDefault="00B700CA" w:rsidP="00635652">
      <w:pPr>
        <w:widowControl w:val="0"/>
        <w:spacing w:line="480" w:lineRule="auto"/>
        <w:rPr>
          <w:rFonts w:cs="Arial"/>
          <w:b/>
          <w:bCs/>
          <w:sz w:val="22"/>
          <w:szCs w:val="22"/>
        </w:rPr>
      </w:pPr>
      <w:r>
        <w:rPr>
          <w:rFonts w:cs="Arial"/>
          <w:b/>
          <w:bCs/>
          <w:sz w:val="22"/>
          <w:szCs w:val="22"/>
        </w:rPr>
        <w:t>SCHEDULING STATUS</w:t>
      </w:r>
    </w:p>
    <w:p w14:paraId="7754E116" w14:textId="77777777" w:rsidR="00B700CA" w:rsidRPr="00635652" w:rsidRDefault="00B700CA" w:rsidP="00635652">
      <w:pPr>
        <w:widowControl w:val="0"/>
        <w:spacing w:line="480" w:lineRule="auto"/>
        <w:rPr>
          <w:rFonts w:cs="Arial"/>
          <w:b/>
          <w:bCs/>
          <w:sz w:val="22"/>
          <w:szCs w:val="22"/>
        </w:rPr>
      </w:pPr>
      <w:r w:rsidRPr="00635652">
        <w:rPr>
          <w:rFonts w:cs="Arial"/>
          <w:b/>
          <w:bCs/>
          <w:sz w:val="22"/>
          <w:szCs w:val="22"/>
          <w:bdr w:val="single" w:sz="4" w:space="0" w:color="auto"/>
        </w:rPr>
        <w:t>S4</w:t>
      </w:r>
    </w:p>
    <w:p w14:paraId="0E4BF0B2" w14:textId="77777777" w:rsidR="00B700CA" w:rsidRPr="00635652" w:rsidRDefault="00B700CA" w:rsidP="00635652">
      <w:pPr>
        <w:widowControl w:val="0"/>
        <w:spacing w:line="480" w:lineRule="auto"/>
        <w:rPr>
          <w:rFonts w:cs="Arial"/>
          <w:bCs/>
          <w:sz w:val="22"/>
          <w:szCs w:val="22"/>
        </w:rPr>
      </w:pPr>
    </w:p>
    <w:p w14:paraId="125D9F21"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PROPRIETARY NAME AND DOSAGE FORM</w:t>
      </w:r>
    </w:p>
    <w:p w14:paraId="2CAE6CE3" w14:textId="77777777" w:rsidR="00B700CA" w:rsidRPr="00635652" w:rsidRDefault="00B700CA" w:rsidP="00635652">
      <w:pPr>
        <w:widowControl w:val="0"/>
        <w:spacing w:line="480" w:lineRule="auto"/>
        <w:rPr>
          <w:rFonts w:cs="Arial"/>
          <w:sz w:val="22"/>
          <w:szCs w:val="22"/>
        </w:rPr>
      </w:pPr>
      <w:r w:rsidRPr="00635652">
        <w:rPr>
          <w:rFonts w:cs="Arial"/>
          <w:b/>
          <w:sz w:val="22"/>
          <w:szCs w:val="22"/>
        </w:rPr>
        <w:t>MITOMYCIN-C 2</w:t>
      </w:r>
      <w:r>
        <w:rPr>
          <w:rFonts w:cs="Arial"/>
          <w:b/>
          <w:sz w:val="22"/>
          <w:szCs w:val="22"/>
        </w:rPr>
        <w:t> </w:t>
      </w:r>
      <w:r w:rsidRPr="00635652">
        <w:rPr>
          <w:rFonts w:cs="Arial"/>
          <w:b/>
          <w:sz w:val="22"/>
          <w:szCs w:val="22"/>
        </w:rPr>
        <w:t>mg</w:t>
      </w:r>
      <w:r w:rsidRPr="00635652">
        <w:rPr>
          <w:rFonts w:cs="Arial"/>
          <w:sz w:val="22"/>
          <w:szCs w:val="22"/>
        </w:rPr>
        <w:t xml:space="preserve"> (</w:t>
      </w:r>
      <w:r>
        <w:rPr>
          <w:rFonts w:cs="Arial"/>
          <w:sz w:val="22"/>
          <w:szCs w:val="22"/>
        </w:rPr>
        <w:t>p</w:t>
      </w:r>
      <w:r w:rsidRPr="00635652">
        <w:rPr>
          <w:rFonts w:cs="Arial"/>
          <w:sz w:val="22"/>
          <w:szCs w:val="22"/>
        </w:rPr>
        <w:t xml:space="preserve">owder for </w:t>
      </w:r>
      <w:r>
        <w:rPr>
          <w:rFonts w:cs="Arial"/>
          <w:sz w:val="22"/>
          <w:szCs w:val="22"/>
        </w:rPr>
        <w:t>i</w:t>
      </w:r>
      <w:r w:rsidRPr="00635652">
        <w:rPr>
          <w:rFonts w:cs="Arial"/>
          <w:sz w:val="22"/>
          <w:szCs w:val="22"/>
        </w:rPr>
        <w:t>njection)</w:t>
      </w:r>
    </w:p>
    <w:p w14:paraId="3A940746" w14:textId="77777777" w:rsidR="00B700CA" w:rsidRPr="00635652" w:rsidRDefault="00B700CA" w:rsidP="00635652">
      <w:pPr>
        <w:widowControl w:val="0"/>
        <w:spacing w:line="480" w:lineRule="auto"/>
        <w:rPr>
          <w:rFonts w:cs="Arial"/>
          <w:sz w:val="22"/>
          <w:szCs w:val="22"/>
        </w:rPr>
      </w:pPr>
      <w:r w:rsidRPr="00635652">
        <w:rPr>
          <w:rFonts w:cs="Arial"/>
          <w:b/>
          <w:sz w:val="22"/>
          <w:szCs w:val="22"/>
        </w:rPr>
        <w:t>MITOMYCIN-C 10</w:t>
      </w:r>
      <w:r>
        <w:rPr>
          <w:rFonts w:cs="Arial"/>
          <w:b/>
          <w:sz w:val="22"/>
          <w:szCs w:val="22"/>
        </w:rPr>
        <w:t> </w:t>
      </w:r>
      <w:r w:rsidRPr="00635652">
        <w:rPr>
          <w:rFonts w:cs="Arial"/>
          <w:b/>
          <w:sz w:val="22"/>
          <w:szCs w:val="22"/>
        </w:rPr>
        <w:t>mg</w:t>
      </w:r>
      <w:r w:rsidRPr="00635652">
        <w:rPr>
          <w:rFonts w:cs="Arial"/>
          <w:sz w:val="22"/>
          <w:szCs w:val="22"/>
        </w:rPr>
        <w:t xml:space="preserve"> (</w:t>
      </w:r>
      <w:r>
        <w:rPr>
          <w:rFonts w:cs="Arial"/>
          <w:sz w:val="22"/>
          <w:szCs w:val="22"/>
        </w:rPr>
        <w:t>p</w:t>
      </w:r>
      <w:r w:rsidRPr="00635652">
        <w:rPr>
          <w:rFonts w:cs="Arial"/>
          <w:sz w:val="22"/>
          <w:szCs w:val="22"/>
        </w:rPr>
        <w:t xml:space="preserve">owder for </w:t>
      </w:r>
      <w:r>
        <w:rPr>
          <w:rFonts w:cs="Arial"/>
          <w:sz w:val="22"/>
          <w:szCs w:val="22"/>
        </w:rPr>
        <w:t>i</w:t>
      </w:r>
      <w:r w:rsidRPr="00635652">
        <w:rPr>
          <w:rFonts w:cs="Arial"/>
          <w:sz w:val="22"/>
          <w:szCs w:val="22"/>
        </w:rPr>
        <w:t>njection)</w:t>
      </w:r>
    </w:p>
    <w:p w14:paraId="5BE7D4DB" w14:textId="77777777" w:rsidR="00B700CA" w:rsidRPr="00635652" w:rsidRDefault="00B700CA" w:rsidP="00635652">
      <w:pPr>
        <w:widowControl w:val="0"/>
        <w:spacing w:line="480" w:lineRule="auto"/>
        <w:rPr>
          <w:rFonts w:eastAsia="Arial Unicode MS" w:cs="Arial"/>
          <w:sz w:val="22"/>
          <w:szCs w:val="22"/>
        </w:rPr>
      </w:pPr>
    </w:p>
    <w:p w14:paraId="67DDB9E3"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COMPOSITION</w:t>
      </w:r>
    </w:p>
    <w:p w14:paraId="40311B9F" w14:textId="77777777" w:rsidR="00B700CA" w:rsidRPr="00B86649" w:rsidRDefault="00B700CA" w:rsidP="00635652">
      <w:pPr>
        <w:widowControl w:val="0"/>
        <w:spacing w:line="480" w:lineRule="auto"/>
        <w:rPr>
          <w:rFonts w:cs="Arial"/>
          <w:strike/>
          <w:sz w:val="22"/>
          <w:szCs w:val="22"/>
        </w:rPr>
      </w:pPr>
      <w:r w:rsidRPr="00635652">
        <w:rPr>
          <w:rFonts w:cs="Arial"/>
          <w:sz w:val="22"/>
          <w:szCs w:val="22"/>
        </w:rPr>
        <w:t xml:space="preserve">Each vial of </w:t>
      </w:r>
      <w:r w:rsidRPr="00B86649">
        <w:rPr>
          <w:rFonts w:cs="Arial"/>
          <w:sz w:val="22"/>
          <w:szCs w:val="22"/>
        </w:rPr>
        <w:t xml:space="preserve">MITOMYCIN-C 2 mg contains 2 mg of </w:t>
      </w:r>
      <w:r w:rsidRPr="002F5648">
        <w:rPr>
          <w:rFonts w:cs="Arial"/>
          <w:sz w:val="22"/>
          <w:szCs w:val="22"/>
          <w:shd w:val="clear" w:color="auto" w:fill="FFFFFF"/>
        </w:rPr>
        <w:t>crystalline</w:t>
      </w:r>
      <w:r w:rsidRPr="00B86649">
        <w:rPr>
          <w:rFonts w:cs="Arial"/>
          <w:sz w:val="22"/>
          <w:szCs w:val="22"/>
        </w:rPr>
        <w:t xml:space="preserve"> mitomycin-C.</w:t>
      </w:r>
    </w:p>
    <w:p w14:paraId="36FD7AA7" w14:textId="77777777" w:rsidR="00B700CA" w:rsidRPr="00B86649" w:rsidRDefault="00B700CA" w:rsidP="00635652">
      <w:pPr>
        <w:widowControl w:val="0"/>
        <w:spacing w:line="480" w:lineRule="auto"/>
        <w:rPr>
          <w:rFonts w:cs="Arial"/>
          <w:i/>
          <w:sz w:val="22"/>
          <w:szCs w:val="22"/>
        </w:rPr>
      </w:pPr>
    </w:p>
    <w:p w14:paraId="355734FB" w14:textId="77777777" w:rsidR="00B700CA" w:rsidRPr="00B86649" w:rsidRDefault="00B700CA" w:rsidP="00635652">
      <w:pPr>
        <w:widowControl w:val="0"/>
        <w:spacing w:line="480" w:lineRule="auto"/>
        <w:rPr>
          <w:rFonts w:cs="Arial"/>
          <w:i/>
          <w:sz w:val="22"/>
          <w:szCs w:val="22"/>
        </w:rPr>
      </w:pPr>
      <w:r w:rsidRPr="00B86649">
        <w:rPr>
          <w:rFonts w:cs="Arial"/>
          <w:i/>
          <w:sz w:val="22"/>
          <w:szCs w:val="22"/>
        </w:rPr>
        <w:t>Excipient:</w:t>
      </w:r>
    </w:p>
    <w:p w14:paraId="6D9852A1" w14:textId="77777777" w:rsidR="00B700CA" w:rsidRPr="00B86649" w:rsidRDefault="00B700CA" w:rsidP="00635652">
      <w:pPr>
        <w:widowControl w:val="0"/>
        <w:spacing w:line="480" w:lineRule="auto"/>
        <w:rPr>
          <w:rFonts w:cs="Arial"/>
          <w:sz w:val="22"/>
          <w:szCs w:val="22"/>
        </w:rPr>
      </w:pPr>
      <w:r w:rsidRPr="00B86649">
        <w:rPr>
          <w:rFonts w:cs="Arial"/>
          <w:sz w:val="22"/>
          <w:szCs w:val="22"/>
        </w:rPr>
        <w:t>Sodium chloride</w:t>
      </w:r>
    </w:p>
    <w:p w14:paraId="07A6D557" w14:textId="77777777" w:rsidR="00B700CA" w:rsidRPr="00B86649" w:rsidRDefault="00B700CA" w:rsidP="00635652">
      <w:pPr>
        <w:widowControl w:val="0"/>
        <w:spacing w:line="480" w:lineRule="auto"/>
        <w:rPr>
          <w:rFonts w:cs="Arial"/>
          <w:sz w:val="22"/>
          <w:szCs w:val="22"/>
          <w:u w:val="dash"/>
        </w:rPr>
      </w:pPr>
    </w:p>
    <w:p w14:paraId="26531EFB" w14:textId="77777777" w:rsidR="00B700CA" w:rsidRPr="00B86649" w:rsidRDefault="00B700CA" w:rsidP="00635652">
      <w:pPr>
        <w:widowControl w:val="0"/>
        <w:spacing w:line="480" w:lineRule="auto"/>
        <w:rPr>
          <w:rFonts w:cs="Arial"/>
          <w:sz w:val="22"/>
          <w:szCs w:val="22"/>
        </w:rPr>
      </w:pPr>
      <w:r w:rsidRPr="00B86649">
        <w:rPr>
          <w:rFonts w:cs="Arial"/>
          <w:sz w:val="22"/>
          <w:szCs w:val="22"/>
        </w:rPr>
        <w:t>Sugar free</w:t>
      </w:r>
    </w:p>
    <w:p w14:paraId="5DD85BBF" w14:textId="77777777" w:rsidR="00B700CA" w:rsidRPr="00B86649" w:rsidRDefault="00B700CA" w:rsidP="00635652">
      <w:pPr>
        <w:widowControl w:val="0"/>
        <w:spacing w:line="480" w:lineRule="auto"/>
        <w:rPr>
          <w:rFonts w:cs="Arial"/>
          <w:sz w:val="22"/>
          <w:szCs w:val="22"/>
          <w:u w:val="dash"/>
        </w:rPr>
      </w:pPr>
    </w:p>
    <w:p w14:paraId="5044A30D" w14:textId="77777777" w:rsidR="00B700CA" w:rsidRPr="00635652" w:rsidRDefault="00B700CA" w:rsidP="00635652">
      <w:pPr>
        <w:widowControl w:val="0"/>
        <w:spacing w:line="480" w:lineRule="auto"/>
        <w:rPr>
          <w:rFonts w:cs="Arial"/>
          <w:strike/>
          <w:sz w:val="22"/>
          <w:szCs w:val="22"/>
        </w:rPr>
      </w:pPr>
      <w:r w:rsidRPr="00B86649">
        <w:rPr>
          <w:rFonts w:cs="Arial"/>
          <w:sz w:val="22"/>
          <w:szCs w:val="22"/>
        </w:rPr>
        <w:t>Each vial of MITOMYCIN-C 10 mg</w:t>
      </w:r>
      <w:r w:rsidRPr="00635652">
        <w:rPr>
          <w:rFonts w:cs="Arial"/>
          <w:sz w:val="22"/>
          <w:szCs w:val="22"/>
        </w:rPr>
        <w:t xml:space="preserve"> contains 10</w:t>
      </w:r>
      <w:r>
        <w:rPr>
          <w:rFonts w:cs="Arial"/>
          <w:sz w:val="22"/>
          <w:szCs w:val="22"/>
        </w:rPr>
        <w:t> </w:t>
      </w:r>
      <w:r w:rsidRPr="00635652">
        <w:rPr>
          <w:rFonts w:cs="Arial"/>
          <w:sz w:val="22"/>
          <w:szCs w:val="22"/>
        </w:rPr>
        <w:t xml:space="preserve">mg of </w:t>
      </w:r>
      <w:r w:rsidRPr="001E178E">
        <w:rPr>
          <w:rFonts w:cs="Arial"/>
          <w:sz w:val="22"/>
          <w:szCs w:val="22"/>
        </w:rPr>
        <w:t>crystalline</w:t>
      </w:r>
      <w:r w:rsidRPr="00635652">
        <w:rPr>
          <w:rFonts w:cs="Arial"/>
          <w:sz w:val="22"/>
          <w:szCs w:val="22"/>
        </w:rPr>
        <w:t xml:space="preserve"> </w:t>
      </w:r>
      <w:r>
        <w:rPr>
          <w:rFonts w:cs="Arial"/>
          <w:sz w:val="22"/>
          <w:szCs w:val="22"/>
        </w:rPr>
        <w:t>m</w:t>
      </w:r>
      <w:r w:rsidRPr="00635652">
        <w:rPr>
          <w:rFonts w:cs="Arial"/>
          <w:sz w:val="22"/>
          <w:szCs w:val="22"/>
        </w:rPr>
        <w:t>itomycin-C</w:t>
      </w:r>
      <w:r>
        <w:rPr>
          <w:rFonts w:cs="Arial"/>
          <w:sz w:val="22"/>
          <w:szCs w:val="22"/>
        </w:rPr>
        <w:t>.</w:t>
      </w:r>
    </w:p>
    <w:p w14:paraId="742FFC71" w14:textId="77777777" w:rsidR="00B700CA" w:rsidRPr="00635652" w:rsidRDefault="00B700CA" w:rsidP="00635652">
      <w:pPr>
        <w:widowControl w:val="0"/>
        <w:spacing w:line="480" w:lineRule="auto"/>
        <w:rPr>
          <w:rFonts w:cs="Arial"/>
          <w:i/>
          <w:sz w:val="22"/>
          <w:szCs w:val="22"/>
          <w:u w:val="single"/>
        </w:rPr>
      </w:pPr>
    </w:p>
    <w:p w14:paraId="6FF46945" w14:textId="77777777" w:rsidR="00B700CA" w:rsidRPr="00635652" w:rsidRDefault="00B700CA" w:rsidP="00635652">
      <w:pPr>
        <w:widowControl w:val="0"/>
        <w:spacing w:line="480" w:lineRule="auto"/>
        <w:rPr>
          <w:rFonts w:cs="Arial"/>
          <w:i/>
          <w:sz w:val="22"/>
          <w:szCs w:val="22"/>
        </w:rPr>
      </w:pPr>
      <w:r w:rsidRPr="00635652">
        <w:rPr>
          <w:rFonts w:cs="Arial"/>
          <w:i/>
          <w:sz w:val="22"/>
          <w:szCs w:val="22"/>
        </w:rPr>
        <w:t>Excipient:</w:t>
      </w:r>
    </w:p>
    <w:p w14:paraId="0E775D67" w14:textId="77777777" w:rsidR="00B700CA" w:rsidRPr="00635652" w:rsidRDefault="00B700CA" w:rsidP="00635652">
      <w:pPr>
        <w:widowControl w:val="0"/>
        <w:spacing w:line="480" w:lineRule="auto"/>
        <w:rPr>
          <w:rFonts w:cs="Arial"/>
          <w:sz w:val="22"/>
          <w:szCs w:val="22"/>
        </w:rPr>
      </w:pPr>
      <w:r>
        <w:rPr>
          <w:rFonts w:cs="Arial"/>
          <w:sz w:val="22"/>
          <w:szCs w:val="22"/>
        </w:rPr>
        <w:t>Sodium chloride</w:t>
      </w:r>
    </w:p>
    <w:p w14:paraId="1446EA19" w14:textId="77777777" w:rsidR="00B700CA" w:rsidRPr="00635652" w:rsidRDefault="00B700CA" w:rsidP="00635652">
      <w:pPr>
        <w:widowControl w:val="0"/>
        <w:spacing w:line="480" w:lineRule="auto"/>
        <w:rPr>
          <w:rFonts w:cs="Arial"/>
          <w:sz w:val="22"/>
          <w:szCs w:val="22"/>
        </w:rPr>
      </w:pPr>
    </w:p>
    <w:p w14:paraId="7F8F84F7" w14:textId="77777777" w:rsidR="00B700CA" w:rsidRPr="00635652" w:rsidRDefault="00B700CA" w:rsidP="00635652">
      <w:pPr>
        <w:widowControl w:val="0"/>
        <w:spacing w:line="480" w:lineRule="auto"/>
        <w:rPr>
          <w:rFonts w:cs="Arial"/>
          <w:sz w:val="22"/>
          <w:szCs w:val="22"/>
        </w:rPr>
      </w:pPr>
      <w:r>
        <w:rPr>
          <w:rFonts w:cs="Arial"/>
          <w:sz w:val="22"/>
          <w:szCs w:val="22"/>
        </w:rPr>
        <w:t>Sugar free</w:t>
      </w:r>
    </w:p>
    <w:p w14:paraId="3FECE74D"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CATEGORY AND CLASS</w:t>
      </w:r>
    </w:p>
    <w:p w14:paraId="7E723A47" w14:textId="77777777" w:rsidR="00B700CA" w:rsidRPr="00635652" w:rsidRDefault="00B700CA" w:rsidP="00635652">
      <w:pPr>
        <w:widowControl w:val="0"/>
        <w:spacing w:line="480" w:lineRule="auto"/>
        <w:rPr>
          <w:rFonts w:cs="Arial"/>
          <w:sz w:val="22"/>
          <w:szCs w:val="22"/>
        </w:rPr>
      </w:pPr>
      <w:r w:rsidRPr="00635652">
        <w:rPr>
          <w:rFonts w:cs="Arial"/>
          <w:sz w:val="22"/>
          <w:szCs w:val="22"/>
        </w:rPr>
        <w:t>A</w:t>
      </w:r>
      <w:r>
        <w:rPr>
          <w:rFonts w:cs="Arial"/>
          <w:sz w:val="22"/>
          <w:szCs w:val="22"/>
        </w:rPr>
        <w:t> </w:t>
      </w:r>
      <w:r w:rsidRPr="00635652">
        <w:rPr>
          <w:rFonts w:cs="Arial"/>
          <w:sz w:val="22"/>
          <w:szCs w:val="22"/>
        </w:rPr>
        <w:t xml:space="preserve">26 Cytostatic </w:t>
      </w:r>
      <w:r>
        <w:rPr>
          <w:rFonts w:cs="Arial"/>
          <w:sz w:val="22"/>
          <w:szCs w:val="22"/>
        </w:rPr>
        <w:t>a</w:t>
      </w:r>
      <w:r w:rsidRPr="00635652">
        <w:rPr>
          <w:rFonts w:cs="Arial"/>
          <w:sz w:val="22"/>
          <w:szCs w:val="22"/>
        </w:rPr>
        <w:t>gents</w:t>
      </w:r>
    </w:p>
    <w:p w14:paraId="7F32B6AB" w14:textId="70EEFF03" w:rsidR="00B700CA" w:rsidRDefault="00B700CA" w:rsidP="00635652">
      <w:pPr>
        <w:widowControl w:val="0"/>
        <w:spacing w:line="480" w:lineRule="auto"/>
        <w:rPr>
          <w:rFonts w:cs="Arial"/>
          <w:sz w:val="22"/>
          <w:szCs w:val="22"/>
        </w:rPr>
      </w:pPr>
    </w:p>
    <w:p w14:paraId="1BB9F939" w14:textId="77777777" w:rsidR="00B700CA" w:rsidRPr="00635652" w:rsidRDefault="00B700CA" w:rsidP="00635652">
      <w:pPr>
        <w:widowControl w:val="0"/>
        <w:spacing w:line="480" w:lineRule="auto"/>
        <w:rPr>
          <w:rFonts w:cs="Arial"/>
          <w:sz w:val="22"/>
          <w:szCs w:val="22"/>
        </w:rPr>
      </w:pPr>
    </w:p>
    <w:p w14:paraId="5796A825" w14:textId="77777777" w:rsidR="00B700CA" w:rsidRPr="00635652" w:rsidRDefault="00B700CA" w:rsidP="00635652">
      <w:pPr>
        <w:widowControl w:val="0"/>
        <w:spacing w:line="480" w:lineRule="auto"/>
        <w:rPr>
          <w:rFonts w:cs="Arial"/>
          <w:b/>
          <w:sz w:val="22"/>
          <w:szCs w:val="22"/>
        </w:rPr>
      </w:pPr>
      <w:r w:rsidRPr="00635652">
        <w:rPr>
          <w:rFonts w:cs="Arial"/>
          <w:b/>
          <w:sz w:val="22"/>
          <w:szCs w:val="22"/>
        </w:rPr>
        <w:lastRenderedPageBreak/>
        <w:t>PHARMACOLOGICAL ACTION</w:t>
      </w:r>
    </w:p>
    <w:p w14:paraId="49BD6E2E"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Pharmacodynamic properties</w:t>
      </w:r>
    </w:p>
    <w:p w14:paraId="0338B348" w14:textId="77777777" w:rsidR="00B700CA" w:rsidRPr="00635652" w:rsidRDefault="00B700CA" w:rsidP="00635652">
      <w:pPr>
        <w:widowControl w:val="0"/>
        <w:spacing w:line="480" w:lineRule="auto"/>
        <w:rPr>
          <w:rFonts w:cs="Arial"/>
          <w:sz w:val="22"/>
          <w:szCs w:val="22"/>
        </w:rPr>
      </w:pPr>
      <w:r w:rsidRPr="00635652">
        <w:rPr>
          <w:rFonts w:cs="Arial"/>
          <w:sz w:val="22"/>
          <w:szCs w:val="22"/>
        </w:rPr>
        <w:t>Mitomycin-C acts as a bifunctional or trifunctional alkylating agent. It inhibits DNA synthesis and cross-links DNA to an extent proportional to its content of guanine and cytosine. Its action is most prominent during the late G1 and early S</w:t>
      </w:r>
      <w:r>
        <w:rPr>
          <w:rFonts w:cs="Arial"/>
          <w:sz w:val="22"/>
          <w:szCs w:val="22"/>
        </w:rPr>
        <w:t> </w:t>
      </w:r>
      <w:r w:rsidRPr="00635652">
        <w:rPr>
          <w:rFonts w:cs="Arial"/>
          <w:sz w:val="22"/>
          <w:szCs w:val="22"/>
        </w:rPr>
        <w:t>phases of the cell cycle.</w:t>
      </w:r>
    </w:p>
    <w:p w14:paraId="31427918" w14:textId="77777777" w:rsidR="00B700CA" w:rsidRPr="00635652" w:rsidRDefault="00B700CA" w:rsidP="00635652">
      <w:pPr>
        <w:widowControl w:val="0"/>
        <w:spacing w:line="480" w:lineRule="auto"/>
        <w:rPr>
          <w:rFonts w:cs="Arial"/>
          <w:sz w:val="22"/>
          <w:szCs w:val="22"/>
        </w:rPr>
      </w:pPr>
    </w:p>
    <w:p w14:paraId="5E2C6071" w14:textId="77777777" w:rsidR="00B700CA" w:rsidRPr="00635652" w:rsidRDefault="00B700CA" w:rsidP="00635652">
      <w:pPr>
        <w:pStyle w:val="Heading1"/>
        <w:keepNext w:val="0"/>
        <w:widowControl w:val="0"/>
        <w:spacing w:line="480" w:lineRule="auto"/>
        <w:rPr>
          <w:rFonts w:cs="Arial"/>
          <w:sz w:val="22"/>
          <w:szCs w:val="22"/>
        </w:rPr>
      </w:pPr>
      <w:r w:rsidRPr="00635652">
        <w:rPr>
          <w:rFonts w:cs="Arial"/>
          <w:sz w:val="22"/>
          <w:szCs w:val="22"/>
        </w:rPr>
        <w:t>INDICATIONS</w:t>
      </w:r>
    </w:p>
    <w:p w14:paraId="677CADE8" w14:textId="77777777" w:rsidR="00B700CA" w:rsidRDefault="00B700CA" w:rsidP="00635652">
      <w:pPr>
        <w:widowControl w:val="0"/>
        <w:spacing w:line="480" w:lineRule="auto"/>
        <w:rPr>
          <w:rFonts w:cs="Arial"/>
          <w:sz w:val="22"/>
          <w:szCs w:val="22"/>
        </w:rPr>
      </w:pPr>
      <w:r w:rsidRPr="00635652">
        <w:rPr>
          <w:rFonts w:cs="Arial"/>
          <w:sz w:val="22"/>
          <w:szCs w:val="22"/>
        </w:rPr>
        <w:t>MITOMYCIN-C is a broad spectrum cytostatic. Used on its own, MITOMYCIN-C may be effective in the treatment of a wide variety of malignant tumours such as breast cance</w:t>
      </w:r>
      <w:r>
        <w:rPr>
          <w:rFonts w:cs="Arial"/>
          <w:sz w:val="22"/>
          <w:szCs w:val="22"/>
        </w:rPr>
        <w:t>r and gastrointestinal cancer.</w:t>
      </w:r>
    </w:p>
    <w:p w14:paraId="35289BD6" w14:textId="77777777" w:rsidR="00B700CA" w:rsidRPr="00635652" w:rsidRDefault="00B700CA" w:rsidP="00635652">
      <w:pPr>
        <w:widowControl w:val="0"/>
        <w:spacing w:line="480" w:lineRule="auto"/>
        <w:rPr>
          <w:rFonts w:cs="Arial"/>
          <w:sz w:val="22"/>
          <w:szCs w:val="22"/>
        </w:rPr>
      </w:pPr>
    </w:p>
    <w:p w14:paraId="71EF3290" w14:textId="77777777" w:rsidR="00B700CA" w:rsidRDefault="00B700CA" w:rsidP="00635652">
      <w:pPr>
        <w:widowControl w:val="0"/>
        <w:spacing w:line="480" w:lineRule="auto"/>
        <w:rPr>
          <w:rFonts w:cs="Arial"/>
          <w:sz w:val="22"/>
          <w:szCs w:val="22"/>
        </w:rPr>
      </w:pPr>
      <w:r w:rsidRPr="00635652">
        <w:rPr>
          <w:rFonts w:cs="Arial"/>
          <w:sz w:val="22"/>
          <w:szCs w:val="22"/>
        </w:rPr>
        <w:t xml:space="preserve">It is, however, very often used in combination with other cytostatics, particularly in the treatment of </w:t>
      </w:r>
      <w:r>
        <w:rPr>
          <w:rFonts w:cs="Arial"/>
          <w:sz w:val="22"/>
          <w:szCs w:val="22"/>
        </w:rPr>
        <w:t>gastric and pancreatic cancers.</w:t>
      </w:r>
    </w:p>
    <w:p w14:paraId="0073A5A5" w14:textId="77777777" w:rsidR="00B700CA" w:rsidRPr="00635652" w:rsidRDefault="00B700CA" w:rsidP="00635652">
      <w:pPr>
        <w:widowControl w:val="0"/>
        <w:spacing w:line="480" w:lineRule="auto"/>
        <w:rPr>
          <w:rFonts w:cs="Arial"/>
          <w:sz w:val="22"/>
          <w:szCs w:val="22"/>
        </w:rPr>
      </w:pPr>
    </w:p>
    <w:p w14:paraId="6FA64AA2" w14:textId="77777777" w:rsidR="00B700CA" w:rsidRPr="00635652" w:rsidRDefault="00B700CA" w:rsidP="00635652">
      <w:pPr>
        <w:widowControl w:val="0"/>
        <w:spacing w:line="480" w:lineRule="auto"/>
        <w:rPr>
          <w:rFonts w:cs="Arial"/>
          <w:sz w:val="22"/>
          <w:szCs w:val="22"/>
        </w:rPr>
      </w:pPr>
      <w:r w:rsidRPr="00635652">
        <w:rPr>
          <w:rFonts w:cs="Arial"/>
          <w:sz w:val="22"/>
          <w:szCs w:val="22"/>
        </w:rPr>
        <w:t>MITOMYCIN-C has also been reported to have an effect in the treatment of bladder cancer, non-small cell lung cancer, head and neck squamous cell cancer and colorectal cancer.</w:t>
      </w:r>
    </w:p>
    <w:p w14:paraId="598A22AF" w14:textId="77777777" w:rsidR="00B700CA" w:rsidRPr="00635652" w:rsidRDefault="00B700CA" w:rsidP="00635652">
      <w:pPr>
        <w:widowControl w:val="0"/>
        <w:spacing w:line="480" w:lineRule="auto"/>
        <w:rPr>
          <w:rFonts w:eastAsia="Arial Unicode MS" w:cs="Arial"/>
          <w:sz w:val="22"/>
          <w:szCs w:val="22"/>
        </w:rPr>
      </w:pPr>
    </w:p>
    <w:p w14:paraId="2361864B"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CONTRAINDICATIONS</w:t>
      </w:r>
    </w:p>
    <w:p w14:paraId="6F69A23E" w14:textId="77777777" w:rsidR="00B700CA" w:rsidRPr="00635652" w:rsidRDefault="00B700CA" w:rsidP="00635652">
      <w:pPr>
        <w:widowControl w:val="0"/>
        <w:numPr>
          <w:ilvl w:val="0"/>
          <w:numId w:val="32"/>
        </w:numPr>
        <w:spacing w:line="480" w:lineRule="auto"/>
        <w:ind w:left="426" w:hanging="426"/>
        <w:rPr>
          <w:rFonts w:cs="Arial"/>
          <w:sz w:val="22"/>
          <w:szCs w:val="22"/>
        </w:rPr>
      </w:pPr>
      <w:r w:rsidRPr="00635652">
        <w:rPr>
          <w:rFonts w:cs="Arial"/>
          <w:sz w:val="22"/>
          <w:szCs w:val="22"/>
        </w:rPr>
        <w:t>MITOMYCIN-C should not be used in patients suff</w:t>
      </w:r>
      <w:r>
        <w:rPr>
          <w:rFonts w:cs="Arial"/>
          <w:sz w:val="22"/>
          <w:szCs w:val="22"/>
        </w:rPr>
        <w:t>ering from an active infection.</w:t>
      </w:r>
    </w:p>
    <w:p w14:paraId="42820ACD" w14:textId="77777777" w:rsidR="00B700CA" w:rsidRPr="00635652" w:rsidRDefault="00B700CA" w:rsidP="00635652">
      <w:pPr>
        <w:widowControl w:val="0"/>
        <w:numPr>
          <w:ilvl w:val="0"/>
          <w:numId w:val="32"/>
        </w:numPr>
        <w:spacing w:line="480" w:lineRule="auto"/>
        <w:ind w:left="426" w:hanging="426"/>
        <w:rPr>
          <w:rFonts w:cs="Arial"/>
          <w:sz w:val="22"/>
          <w:szCs w:val="22"/>
        </w:rPr>
      </w:pPr>
      <w:r w:rsidRPr="00635652">
        <w:rPr>
          <w:rFonts w:cs="Arial"/>
          <w:sz w:val="22"/>
          <w:szCs w:val="22"/>
        </w:rPr>
        <w:t>MITOMYCIN-C is contraindicated in pregnancy. Safety during lacta</w:t>
      </w:r>
      <w:r>
        <w:rPr>
          <w:rFonts w:cs="Arial"/>
          <w:sz w:val="22"/>
          <w:szCs w:val="22"/>
        </w:rPr>
        <w:t>tion has not been established.</w:t>
      </w:r>
    </w:p>
    <w:p w14:paraId="11E53211" w14:textId="77777777" w:rsidR="00B700CA" w:rsidRPr="00635652" w:rsidRDefault="00B700CA" w:rsidP="00635652">
      <w:pPr>
        <w:widowControl w:val="0"/>
        <w:numPr>
          <w:ilvl w:val="0"/>
          <w:numId w:val="32"/>
        </w:numPr>
        <w:spacing w:line="480" w:lineRule="auto"/>
        <w:ind w:left="426" w:hanging="426"/>
        <w:rPr>
          <w:rFonts w:cs="Arial"/>
          <w:sz w:val="22"/>
          <w:szCs w:val="22"/>
        </w:rPr>
      </w:pPr>
      <w:r w:rsidRPr="00635652">
        <w:rPr>
          <w:rFonts w:cs="Arial"/>
          <w:sz w:val="22"/>
          <w:szCs w:val="22"/>
        </w:rPr>
        <w:t>Patients with a history of h</w:t>
      </w:r>
      <w:r>
        <w:rPr>
          <w:rFonts w:cs="Arial"/>
          <w:sz w:val="22"/>
          <w:szCs w:val="22"/>
        </w:rPr>
        <w:t>ypersensitivity to MITOMYCIN-C.</w:t>
      </w:r>
    </w:p>
    <w:p w14:paraId="20BE769E" w14:textId="77777777" w:rsidR="00B700CA" w:rsidRPr="00635652" w:rsidRDefault="00B700CA" w:rsidP="00635652">
      <w:pPr>
        <w:widowControl w:val="0"/>
        <w:numPr>
          <w:ilvl w:val="0"/>
          <w:numId w:val="32"/>
        </w:numPr>
        <w:spacing w:line="480" w:lineRule="auto"/>
        <w:ind w:left="426" w:hanging="426"/>
        <w:rPr>
          <w:rFonts w:cs="Arial"/>
          <w:sz w:val="22"/>
          <w:szCs w:val="22"/>
        </w:rPr>
      </w:pPr>
      <w:r w:rsidRPr="00635652">
        <w:rPr>
          <w:rFonts w:cs="Arial"/>
          <w:sz w:val="22"/>
          <w:szCs w:val="22"/>
        </w:rPr>
        <w:t>Use with caution in patients with hepatic disorder, renal disorder, bone marrow suppression, or in patients with varicella (fatal</w:t>
      </w:r>
      <w:r>
        <w:rPr>
          <w:rFonts w:cs="Arial"/>
          <w:sz w:val="22"/>
          <w:szCs w:val="22"/>
        </w:rPr>
        <w:t xml:space="preserve"> systemic disorders may occur).</w:t>
      </w:r>
    </w:p>
    <w:p w14:paraId="45D946F7" w14:textId="54E7CDA3" w:rsidR="00B700CA" w:rsidRDefault="00B700CA" w:rsidP="00635652">
      <w:pPr>
        <w:widowControl w:val="0"/>
        <w:spacing w:line="480" w:lineRule="auto"/>
        <w:rPr>
          <w:rFonts w:cs="Arial"/>
          <w:sz w:val="22"/>
          <w:szCs w:val="22"/>
        </w:rPr>
      </w:pPr>
    </w:p>
    <w:p w14:paraId="5BC8D27C" w14:textId="423FCAF2" w:rsidR="00E13BC4" w:rsidRDefault="00E13BC4" w:rsidP="00635652">
      <w:pPr>
        <w:widowControl w:val="0"/>
        <w:spacing w:line="480" w:lineRule="auto"/>
        <w:rPr>
          <w:rFonts w:cs="Arial"/>
          <w:sz w:val="22"/>
          <w:szCs w:val="22"/>
        </w:rPr>
      </w:pPr>
    </w:p>
    <w:p w14:paraId="24596EF9" w14:textId="77777777" w:rsidR="00E13BC4" w:rsidRPr="00635652" w:rsidRDefault="00E13BC4" w:rsidP="00635652">
      <w:pPr>
        <w:widowControl w:val="0"/>
        <w:spacing w:line="480" w:lineRule="auto"/>
        <w:rPr>
          <w:rFonts w:cs="Arial"/>
          <w:sz w:val="22"/>
          <w:szCs w:val="22"/>
        </w:rPr>
      </w:pPr>
    </w:p>
    <w:p w14:paraId="3B845B15"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WARNINGS AND SPECIAL PRECAUTIONS</w:t>
      </w:r>
    </w:p>
    <w:p w14:paraId="5FA6F6F0" w14:textId="77777777" w:rsidR="00B700CA" w:rsidRDefault="00B700CA" w:rsidP="00635652">
      <w:pPr>
        <w:widowControl w:val="0"/>
        <w:spacing w:line="480" w:lineRule="auto"/>
        <w:rPr>
          <w:rFonts w:cs="Arial"/>
          <w:sz w:val="22"/>
          <w:szCs w:val="22"/>
        </w:rPr>
      </w:pPr>
      <w:r w:rsidRPr="00635652">
        <w:rPr>
          <w:rFonts w:cs="Arial"/>
          <w:sz w:val="22"/>
          <w:szCs w:val="22"/>
        </w:rPr>
        <w:t>Patients should be carefully monitored with frequent laboratory testing (haematological test, liver function test, renal function test, etc.) because serious adverse effects such as marrow depression may occur. If any abnormality is observed, appropriate measures such as reduction of the dose and suspension of administration should be taken. Additionally, MITOMYCIN-C</w:t>
      </w:r>
      <w:r w:rsidRPr="00635652">
        <w:rPr>
          <w:rFonts w:cs="Arial"/>
          <w:b/>
          <w:sz w:val="22"/>
          <w:szCs w:val="22"/>
        </w:rPr>
        <w:t xml:space="preserve"> </w:t>
      </w:r>
      <w:r w:rsidRPr="00635652">
        <w:rPr>
          <w:rFonts w:cs="Arial"/>
          <w:sz w:val="22"/>
          <w:szCs w:val="22"/>
        </w:rPr>
        <w:t>should be administered with care because long-term use of the product may cause enhanced adverse reactions, which may be protracted.</w:t>
      </w:r>
    </w:p>
    <w:p w14:paraId="235C4BE0" w14:textId="77777777" w:rsidR="00B700CA" w:rsidRPr="00635652" w:rsidRDefault="00B700CA" w:rsidP="00635652">
      <w:pPr>
        <w:widowControl w:val="0"/>
        <w:spacing w:line="480" w:lineRule="auto"/>
        <w:rPr>
          <w:rFonts w:cs="Arial"/>
          <w:sz w:val="22"/>
          <w:szCs w:val="22"/>
        </w:rPr>
      </w:pPr>
    </w:p>
    <w:p w14:paraId="26D79F6D" w14:textId="77777777" w:rsidR="00B700CA" w:rsidRDefault="00B700CA" w:rsidP="00635652">
      <w:pPr>
        <w:widowControl w:val="0"/>
        <w:spacing w:line="480" w:lineRule="auto"/>
        <w:rPr>
          <w:rFonts w:cs="Arial"/>
          <w:sz w:val="22"/>
          <w:szCs w:val="22"/>
        </w:rPr>
      </w:pPr>
      <w:r w:rsidRPr="00635652">
        <w:rPr>
          <w:rFonts w:cs="Arial"/>
          <w:sz w:val="22"/>
          <w:szCs w:val="22"/>
        </w:rPr>
        <w:t>Special precautions are required in the possible manifestation or aggravation of infectious disease and bleeding tendency.</w:t>
      </w:r>
    </w:p>
    <w:p w14:paraId="390BE447" w14:textId="77777777" w:rsidR="00B700CA" w:rsidRPr="00635652" w:rsidRDefault="00B700CA" w:rsidP="00635652">
      <w:pPr>
        <w:widowControl w:val="0"/>
        <w:spacing w:line="480" w:lineRule="auto"/>
        <w:rPr>
          <w:rFonts w:cs="Arial"/>
          <w:sz w:val="22"/>
          <w:szCs w:val="22"/>
        </w:rPr>
      </w:pPr>
    </w:p>
    <w:p w14:paraId="18413CCE" w14:textId="77777777" w:rsidR="00B700CA" w:rsidRPr="00635652" w:rsidRDefault="00B700CA" w:rsidP="00635652">
      <w:pPr>
        <w:widowControl w:val="0"/>
        <w:spacing w:line="480" w:lineRule="auto"/>
        <w:rPr>
          <w:rFonts w:cs="Arial"/>
          <w:sz w:val="22"/>
          <w:szCs w:val="22"/>
        </w:rPr>
      </w:pPr>
      <w:r w:rsidRPr="00635652">
        <w:rPr>
          <w:rFonts w:cs="Arial"/>
          <w:sz w:val="22"/>
          <w:szCs w:val="22"/>
        </w:rPr>
        <w:t>Administration to children and patients with reproductive potential should be carried out with caution considering its potential effects on the gonads.</w:t>
      </w:r>
    </w:p>
    <w:p w14:paraId="19C6697B" w14:textId="77777777" w:rsidR="00B700CA" w:rsidRPr="00635652" w:rsidRDefault="00B700CA" w:rsidP="00635652">
      <w:pPr>
        <w:widowControl w:val="0"/>
        <w:spacing w:line="480" w:lineRule="auto"/>
        <w:rPr>
          <w:rFonts w:cs="Arial"/>
          <w:sz w:val="22"/>
          <w:szCs w:val="22"/>
        </w:rPr>
      </w:pPr>
    </w:p>
    <w:p w14:paraId="6BC94176" w14:textId="77777777" w:rsidR="00B700CA" w:rsidRDefault="00B700CA" w:rsidP="00635652">
      <w:pPr>
        <w:widowControl w:val="0"/>
        <w:spacing w:line="480" w:lineRule="auto"/>
        <w:rPr>
          <w:rFonts w:cs="Arial"/>
          <w:sz w:val="22"/>
          <w:szCs w:val="22"/>
        </w:rPr>
      </w:pPr>
      <w:r w:rsidRPr="00635652">
        <w:rPr>
          <w:rFonts w:cs="Arial"/>
          <w:sz w:val="22"/>
          <w:szCs w:val="22"/>
        </w:rPr>
        <w:t>To avoid necrosis, phlebitis and thrombosis, intravenous administration should be carried out as slowly as possible, paying careful attention to the injection site and method, lest extravasation occur.</w:t>
      </w:r>
    </w:p>
    <w:p w14:paraId="22E14B66" w14:textId="77777777" w:rsidR="00B700CA" w:rsidRPr="00635652" w:rsidRDefault="00B700CA" w:rsidP="00635652">
      <w:pPr>
        <w:widowControl w:val="0"/>
        <w:spacing w:line="480" w:lineRule="auto"/>
        <w:rPr>
          <w:rFonts w:cs="Arial"/>
          <w:sz w:val="22"/>
          <w:szCs w:val="22"/>
        </w:rPr>
      </w:pPr>
    </w:p>
    <w:p w14:paraId="38164187" w14:textId="77777777" w:rsidR="00B700CA" w:rsidRDefault="00B700CA" w:rsidP="00635652">
      <w:pPr>
        <w:widowControl w:val="0"/>
        <w:spacing w:line="480" w:lineRule="auto"/>
        <w:rPr>
          <w:rFonts w:cs="Arial"/>
          <w:sz w:val="22"/>
          <w:szCs w:val="22"/>
        </w:rPr>
      </w:pPr>
      <w:r w:rsidRPr="00635652">
        <w:rPr>
          <w:rFonts w:cs="Arial"/>
          <w:sz w:val="22"/>
          <w:szCs w:val="22"/>
        </w:rPr>
        <w:t>Local and tissue necrosis, ulceration and cellulitis may</w:t>
      </w:r>
      <w:r>
        <w:rPr>
          <w:rFonts w:cs="Arial"/>
          <w:sz w:val="22"/>
          <w:szCs w:val="22"/>
        </w:rPr>
        <w:t xml:space="preserve"> occur following extravasation.</w:t>
      </w:r>
    </w:p>
    <w:p w14:paraId="48DC97BB" w14:textId="77777777" w:rsidR="00B700CA" w:rsidRPr="00635652" w:rsidRDefault="00B700CA" w:rsidP="00635652">
      <w:pPr>
        <w:widowControl w:val="0"/>
        <w:spacing w:line="480" w:lineRule="auto"/>
        <w:rPr>
          <w:rFonts w:cs="Arial"/>
          <w:sz w:val="22"/>
          <w:szCs w:val="22"/>
        </w:rPr>
      </w:pPr>
    </w:p>
    <w:p w14:paraId="51B5C9E8" w14:textId="77777777" w:rsidR="00B700CA" w:rsidRPr="00635652" w:rsidRDefault="00B700CA" w:rsidP="00635652">
      <w:pPr>
        <w:widowControl w:val="0"/>
        <w:spacing w:line="480" w:lineRule="auto"/>
        <w:rPr>
          <w:rFonts w:cs="Arial"/>
          <w:sz w:val="22"/>
          <w:szCs w:val="22"/>
        </w:rPr>
      </w:pPr>
      <w:r w:rsidRPr="00635652">
        <w:rPr>
          <w:rFonts w:cs="Arial"/>
          <w:sz w:val="22"/>
          <w:szCs w:val="22"/>
        </w:rPr>
        <w:t>MITOMYCIN-C should be administered cautiously in elderly patients while closely monitoring patient’s condition and paying special attention to the dose and dosing interval. Intra-arterial administration may cause skin disorders such as pain, redness, erythema, blisters, erosion and ulceration in the region involved, which may lead to skin/muscle erosion. Adminis</w:t>
      </w:r>
      <w:r>
        <w:rPr>
          <w:rFonts w:cs="Arial"/>
          <w:sz w:val="22"/>
          <w:szCs w:val="22"/>
        </w:rPr>
        <w:t>tration should be discontinued.</w:t>
      </w:r>
    </w:p>
    <w:p w14:paraId="460FB57A" w14:textId="77777777" w:rsidR="00B700CA" w:rsidRPr="00635652" w:rsidRDefault="00B700CA" w:rsidP="00635652">
      <w:pPr>
        <w:widowControl w:val="0"/>
        <w:spacing w:line="480" w:lineRule="auto"/>
        <w:rPr>
          <w:rFonts w:cs="Arial"/>
          <w:sz w:val="22"/>
          <w:szCs w:val="22"/>
        </w:rPr>
      </w:pPr>
    </w:p>
    <w:p w14:paraId="63B1EE3F" w14:textId="77777777" w:rsidR="00B700CA" w:rsidRPr="00635652" w:rsidRDefault="00B700CA" w:rsidP="00635652">
      <w:pPr>
        <w:widowControl w:val="0"/>
        <w:spacing w:line="480" w:lineRule="auto"/>
        <w:rPr>
          <w:rFonts w:cs="Arial"/>
          <w:sz w:val="22"/>
          <w:szCs w:val="22"/>
        </w:rPr>
      </w:pPr>
      <w:r w:rsidRPr="00635652">
        <w:rPr>
          <w:rFonts w:cs="Arial"/>
          <w:sz w:val="22"/>
          <w:szCs w:val="22"/>
        </w:rPr>
        <w:t>Occurrence of acute leukaemia (in some cases following preleukaemic phase) and myelodysplastic syndrome (MDS) has been reported in patients treated with MITOMYCIN-C concomitantly with other antineoplastic agents.</w:t>
      </w:r>
    </w:p>
    <w:p w14:paraId="3C0DDA6D" w14:textId="77777777" w:rsidR="00B700CA" w:rsidRPr="00635652" w:rsidRDefault="00B700CA" w:rsidP="00635652">
      <w:pPr>
        <w:widowControl w:val="0"/>
        <w:spacing w:line="480" w:lineRule="auto"/>
        <w:rPr>
          <w:rFonts w:cs="Arial"/>
          <w:sz w:val="22"/>
          <w:szCs w:val="22"/>
        </w:rPr>
      </w:pPr>
    </w:p>
    <w:p w14:paraId="7A8164E1" w14:textId="77777777" w:rsidR="00B700CA" w:rsidRPr="00635652" w:rsidRDefault="00B700CA" w:rsidP="00635652">
      <w:pPr>
        <w:pStyle w:val="Heading1"/>
        <w:keepNext w:val="0"/>
        <w:widowControl w:val="0"/>
        <w:spacing w:line="480" w:lineRule="auto"/>
        <w:rPr>
          <w:rFonts w:cs="Arial"/>
          <w:sz w:val="22"/>
          <w:szCs w:val="22"/>
        </w:rPr>
      </w:pPr>
      <w:r w:rsidRPr="00635652">
        <w:rPr>
          <w:rFonts w:cs="Arial"/>
          <w:sz w:val="22"/>
          <w:szCs w:val="22"/>
        </w:rPr>
        <w:t>INTERACTIONS</w:t>
      </w:r>
    </w:p>
    <w:p w14:paraId="51081169" w14:textId="77777777" w:rsidR="00B700CA" w:rsidRDefault="00B700CA" w:rsidP="00635652">
      <w:pPr>
        <w:widowControl w:val="0"/>
        <w:shd w:val="clear" w:color="auto" w:fill="FFFFFF"/>
        <w:spacing w:line="480" w:lineRule="auto"/>
        <w:rPr>
          <w:rFonts w:cs="Arial"/>
          <w:sz w:val="22"/>
          <w:szCs w:val="22"/>
        </w:rPr>
      </w:pPr>
      <w:r w:rsidRPr="00635652">
        <w:rPr>
          <w:rFonts w:cs="Arial"/>
          <w:sz w:val="22"/>
          <w:szCs w:val="22"/>
        </w:rPr>
        <w:t>The leukopenic and/or thrombocytopenic effects may be increased with concurrent or recent therapy with blood dyscrasia-causing medications (e.g. captopril, carbamazepine, cephalosporins, metronidazole, phenothiazines, sulfamethoxazole and trimethoprim, sulfonamides, thioxanthenes). Dosage adjustments of MITOMYCIN-C, if necessary, should be based on blood counts.</w:t>
      </w:r>
    </w:p>
    <w:p w14:paraId="3D90C4C8" w14:textId="77777777" w:rsidR="00B700CA" w:rsidRPr="00635652" w:rsidRDefault="00B700CA" w:rsidP="00635652">
      <w:pPr>
        <w:widowControl w:val="0"/>
        <w:shd w:val="clear" w:color="auto" w:fill="FFFFFF"/>
        <w:spacing w:line="480" w:lineRule="auto"/>
        <w:rPr>
          <w:rFonts w:cs="Arial"/>
          <w:sz w:val="22"/>
          <w:szCs w:val="22"/>
        </w:rPr>
      </w:pPr>
    </w:p>
    <w:p w14:paraId="75DA0C1D" w14:textId="77777777" w:rsidR="00B700CA" w:rsidRPr="00635652" w:rsidRDefault="00B700CA" w:rsidP="00635652">
      <w:pPr>
        <w:widowControl w:val="0"/>
        <w:shd w:val="clear" w:color="auto" w:fill="FFFFFF"/>
        <w:spacing w:line="480" w:lineRule="auto"/>
        <w:rPr>
          <w:rFonts w:cs="Arial"/>
          <w:sz w:val="22"/>
          <w:szCs w:val="22"/>
        </w:rPr>
      </w:pPr>
      <w:r w:rsidRPr="00635652">
        <w:rPr>
          <w:rFonts w:cs="Arial"/>
          <w:sz w:val="22"/>
          <w:szCs w:val="22"/>
        </w:rPr>
        <w:t>Dosage reduction may be required when two or more bone marrow depressants, including radiation, are used concurrently or consecutively. Concurrent use with doxorubicin may result in increased cardiotoxicity. The patient’s antibody response to vaccine from killed viruses</w:t>
      </w:r>
      <w:r>
        <w:rPr>
          <w:rFonts w:cs="Arial"/>
          <w:sz w:val="22"/>
          <w:szCs w:val="22"/>
        </w:rPr>
        <w:t xml:space="preserve"> </w:t>
      </w:r>
      <w:r w:rsidRPr="00635652">
        <w:rPr>
          <w:rFonts w:cs="Arial"/>
          <w:sz w:val="22"/>
          <w:szCs w:val="22"/>
        </w:rPr>
        <w:t>may be decreased because their normal defence</w:t>
      </w:r>
      <w:r>
        <w:rPr>
          <w:rFonts w:cs="Arial"/>
          <w:sz w:val="22"/>
          <w:szCs w:val="22"/>
        </w:rPr>
        <w:t xml:space="preserve"> mechanism may </w:t>
      </w:r>
      <w:r w:rsidRPr="00635652">
        <w:rPr>
          <w:rFonts w:cs="Arial"/>
          <w:sz w:val="22"/>
          <w:szCs w:val="22"/>
        </w:rPr>
        <w:t>be suppressed by MITOMYCIN-C</w:t>
      </w:r>
      <w:r w:rsidRPr="00635652">
        <w:rPr>
          <w:rFonts w:cs="Arial"/>
          <w:b/>
          <w:sz w:val="22"/>
          <w:szCs w:val="22"/>
        </w:rPr>
        <w:t xml:space="preserve"> </w:t>
      </w:r>
      <w:r w:rsidRPr="00635652">
        <w:rPr>
          <w:rFonts w:cs="Arial"/>
          <w:sz w:val="22"/>
          <w:szCs w:val="22"/>
        </w:rPr>
        <w:t>therapy. The same response may be experienced with use of vaccines from live viruses, but with additional replication potentiation of the vaccine virus and an increase in its side/adverse effects.</w:t>
      </w:r>
    </w:p>
    <w:p w14:paraId="490F9E1C" w14:textId="77777777" w:rsidR="00B700CA" w:rsidRPr="00635652" w:rsidRDefault="00B700CA" w:rsidP="00635652">
      <w:pPr>
        <w:widowControl w:val="0"/>
        <w:spacing w:line="480" w:lineRule="auto"/>
        <w:rPr>
          <w:rFonts w:cs="Arial"/>
          <w:sz w:val="22"/>
          <w:szCs w:val="22"/>
        </w:rPr>
      </w:pPr>
    </w:p>
    <w:p w14:paraId="77316F76" w14:textId="77777777" w:rsidR="00B700CA" w:rsidRPr="00635652" w:rsidRDefault="00B700CA" w:rsidP="00635652">
      <w:pPr>
        <w:pStyle w:val="Heading1"/>
        <w:keepNext w:val="0"/>
        <w:widowControl w:val="0"/>
        <w:spacing w:line="480" w:lineRule="auto"/>
        <w:rPr>
          <w:rFonts w:cs="Arial"/>
          <w:bCs/>
          <w:sz w:val="22"/>
          <w:szCs w:val="22"/>
        </w:rPr>
      </w:pPr>
      <w:r w:rsidRPr="00635652">
        <w:rPr>
          <w:rFonts w:cs="Arial"/>
          <w:bCs/>
          <w:sz w:val="22"/>
          <w:szCs w:val="22"/>
        </w:rPr>
        <w:t>HUMAN REPRODUCTION</w:t>
      </w:r>
    </w:p>
    <w:p w14:paraId="3E8DF329" w14:textId="77777777" w:rsidR="00B700CA" w:rsidRDefault="00B700CA" w:rsidP="00635652">
      <w:pPr>
        <w:widowControl w:val="0"/>
        <w:spacing w:line="480" w:lineRule="auto"/>
        <w:rPr>
          <w:rFonts w:cs="Arial"/>
          <w:sz w:val="22"/>
          <w:szCs w:val="22"/>
        </w:rPr>
      </w:pPr>
      <w:r w:rsidRPr="00635652">
        <w:rPr>
          <w:rFonts w:cs="Arial"/>
          <w:sz w:val="22"/>
          <w:szCs w:val="22"/>
        </w:rPr>
        <w:t xml:space="preserve">It is usually recommended that use of antineoplastics, especially in combination chemotherapy, be avoided whenever possible, especially during the first trimester. Although information is limited because of the relatively few instances of antineoplastic administration during pregnancy, the mutagenicity, teratogenicity and carcinogenic potential of </w:t>
      </w:r>
      <w:r>
        <w:rPr>
          <w:rFonts w:cs="Arial"/>
          <w:sz w:val="22"/>
          <w:szCs w:val="22"/>
        </w:rPr>
        <w:t>MITOMYCIN-C must be considered.</w:t>
      </w:r>
    </w:p>
    <w:p w14:paraId="66B637F2" w14:textId="77777777" w:rsidR="00B700CA" w:rsidRPr="00635652" w:rsidRDefault="00B700CA" w:rsidP="00635652">
      <w:pPr>
        <w:widowControl w:val="0"/>
        <w:spacing w:line="480" w:lineRule="auto"/>
        <w:rPr>
          <w:rFonts w:cs="Arial"/>
          <w:sz w:val="22"/>
          <w:szCs w:val="22"/>
        </w:rPr>
      </w:pPr>
    </w:p>
    <w:p w14:paraId="778D26C3" w14:textId="77777777" w:rsidR="00B700CA" w:rsidRDefault="00B700CA" w:rsidP="00635652">
      <w:pPr>
        <w:widowControl w:val="0"/>
        <w:spacing w:line="480" w:lineRule="auto"/>
        <w:rPr>
          <w:rFonts w:cs="Arial"/>
          <w:sz w:val="22"/>
          <w:szCs w:val="22"/>
        </w:rPr>
      </w:pPr>
      <w:r w:rsidRPr="00635652">
        <w:rPr>
          <w:rFonts w:cs="Arial"/>
          <w:sz w:val="22"/>
          <w:szCs w:val="22"/>
        </w:rPr>
        <w:t>Other hazards to the foetus include adverse reactions seen in adults. In general, use of a contraceptive is recommended during MITOMYCIN-C therapy.</w:t>
      </w:r>
    </w:p>
    <w:p w14:paraId="7D14FD99" w14:textId="77777777" w:rsidR="00B700CA" w:rsidRPr="00635652" w:rsidRDefault="00B700CA" w:rsidP="00635652">
      <w:pPr>
        <w:widowControl w:val="0"/>
        <w:spacing w:line="480" w:lineRule="auto"/>
        <w:rPr>
          <w:rFonts w:cs="Arial"/>
          <w:sz w:val="22"/>
          <w:szCs w:val="22"/>
        </w:rPr>
      </w:pPr>
    </w:p>
    <w:p w14:paraId="2951D30A" w14:textId="77777777" w:rsidR="00B700CA" w:rsidRDefault="00B700CA" w:rsidP="00635652">
      <w:pPr>
        <w:widowControl w:val="0"/>
        <w:spacing w:line="480" w:lineRule="auto"/>
        <w:rPr>
          <w:rFonts w:cs="Arial"/>
          <w:sz w:val="22"/>
          <w:szCs w:val="22"/>
        </w:rPr>
      </w:pPr>
      <w:r w:rsidRPr="00635652">
        <w:rPr>
          <w:rFonts w:cs="Arial"/>
          <w:sz w:val="22"/>
          <w:szCs w:val="22"/>
        </w:rPr>
        <w:t>MITOMYCIN-C is reported to cause teratogenicity in animals.</w:t>
      </w:r>
    </w:p>
    <w:p w14:paraId="4319F53C" w14:textId="77777777" w:rsidR="00B700CA" w:rsidRPr="00635652" w:rsidRDefault="00B700CA" w:rsidP="00635652">
      <w:pPr>
        <w:widowControl w:val="0"/>
        <w:spacing w:line="480" w:lineRule="auto"/>
        <w:rPr>
          <w:rFonts w:cs="Arial"/>
          <w:sz w:val="22"/>
          <w:szCs w:val="22"/>
        </w:rPr>
      </w:pPr>
    </w:p>
    <w:p w14:paraId="55E1C707" w14:textId="77777777" w:rsidR="00B700CA" w:rsidRPr="00635652" w:rsidRDefault="00B700CA" w:rsidP="00635652">
      <w:pPr>
        <w:widowControl w:val="0"/>
        <w:spacing w:line="480" w:lineRule="auto"/>
        <w:rPr>
          <w:rFonts w:cs="Arial"/>
          <w:sz w:val="22"/>
          <w:szCs w:val="22"/>
        </w:rPr>
      </w:pPr>
      <w:r w:rsidRPr="00635652">
        <w:rPr>
          <w:rFonts w:cs="Arial"/>
          <w:sz w:val="22"/>
          <w:szCs w:val="22"/>
        </w:rPr>
        <w:t>Although very little information is available regarding distribution of antineoplastic agents such as MITOMYCIN-C into breast milk, breastfeeding is not recommended while MITOMYCIN-C is being administered because of risks to the infant (adverse effects, mutagenicity, carcinogenicity).</w:t>
      </w:r>
    </w:p>
    <w:p w14:paraId="519D3547" w14:textId="77777777" w:rsidR="00B700CA" w:rsidRPr="00635652" w:rsidRDefault="00B700CA" w:rsidP="00635652">
      <w:pPr>
        <w:widowControl w:val="0"/>
        <w:spacing w:line="480" w:lineRule="auto"/>
        <w:rPr>
          <w:rFonts w:cs="Arial"/>
          <w:sz w:val="22"/>
          <w:szCs w:val="22"/>
        </w:rPr>
      </w:pPr>
    </w:p>
    <w:p w14:paraId="1711C78D" w14:textId="77777777" w:rsidR="00B700CA" w:rsidRPr="00635652" w:rsidRDefault="00B700CA" w:rsidP="00635652">
      <w:pPr>
        <w:widowControl w:val="0"/>
        <w:spacing w:line="480" w:lineRule="auto"/>
        <w:rPr>
          <w:rFonts w:cs="Arial"/>
          <w:b/>
          <w:bCs/>
          <w:sz w:val="22"/>
          <w:szCs w:val="22"/>
        </w:rPr>
      </w:pPr>
      <w:r w:rsidRPr="00635652">
        <w:rPr>
          <w:rFonts w:cs="Arial"/>
          <w:b/>
          <w:bCs/>
          <w:sz w:val="22"/>
          <w:szCs w:val="22"/>
        </w:rPr>
        <w:t>DOSAGE AND DIRECTIONS FOR USE</w:t>
      </w:r>
    </w:p>
    <w:p w14:paraId="20212F23" w14:textId="77777777" w:rsidR="00B700CA" w:rsidRPr="00635652" w:rsidRDefault="00B700CA" w:rsidP="00635652">
      <w:pPr>
        <w:widowControl w:val="0"/>
        <w:spacing w:line="480" w:lineRule="auto"/>
        <w:rPr>
          <w:rFonts w:cs="Arial"/>
          <w:sz w:val="22"/>
          <w:szCs w:val="22"/>
        </w:rPr>
      </w:pPr>
      <w:r w:rsidRPr="00635652">
        <w:rPr>
          <w:rFonts w:cs="Arial"/>
          <w:sz w:val="22"/>
          <w:szCs w:val="22"/>
        </w:rPr>
        <w:t>There is limited but increasing evidence and concern that personnel involved in preparation and administration of parenteral antineoplastics such as MITOMYCIN-C may be at some risk because of the potential mutagenicity, teratogenicity, and/or carcinogenicity of these agents, although the actual risk is unknown. Cautious handling both in the preparation and disposal of MITOMYCIN-C is recommended. Precautions include:</w:t>
      </w:r>
    </w:p>
    <w:p w14:paraId="341A0D0F" w14:textId="77777777" w:rsidR="00B700CA" w:rsidRPr="00635652" w:rsidRDefault="00B700CA" w:rsidP="00635652">
      <w:pPr>
        <w:widowControl w:val="0"/>
        <w:numPr>
          <w:ilvl w:val="0"/>
          <w:numId w:val="34"/>
        </w:numPr>
        <w:spacing w:line="480" w:lineRule="auto"/>
        <w:ind w:left="426" w:hanging="426"/>
        <w:rPr>
          <w:rFonts w:cs="Arial"/>
          <w:sz w:val="22"/>
          <w:szCs w:val="22"/>
        </w:rPr>
      </w:pPr>
      <w:r w:rsidRPr="00635652">
        <w:rPr>
          <w:rFonts w:cs="Arial"/>
          <w:sz w:val="22"/>
          <w:szCs w:val="22"/>
        </w:rPr>
        <w:t>use of a biological containment cabinet during reconstitution and dilution of MITOMYCIN-C and wearing of disposable surgical gloves and masks;</w:t>
      </w:r>
    </w:p>
    <w:p w14:paraId="6673CCE4" w14:textId="77777777" w:rsidR="00B700CA" w:rsidRPr="00635652" w:rsidRDefault="00B700CA" w:rsidP="00635652">
      <w:pPr>
        <w:widowControl w:val="0"/>
        <w:numPr>
          <w:ilvl w:val="0"/>
          <w:numId w:val="34"/>
        </w:numPr>
        <w:spacing w:line="480" w:lineRule="auto"/>
        <w:ind w:left="426" w:hanging="426"/>
        <w:rPr>
          <w:rFonts w:cs="Arial"/>
          <w:sz w:val="22"/>
          <w:szCs w:val="22"/>
        </w:rPr>
      </w:pPr>
      <w:r w:rsidRPr="00635652">
        <w:rPr>
          <w:rFonts w:cs="Arial"/>
          <w:sz w:val="22"/>
          <w:szCs w:val="22"/>
        </w:rPr>
        <w:t>use of proper technique to prevent contamination of the medication, work area, and operator during transfer between containers (including proper training of personnel in this technique);</w:t>
      </w:r>
    </w:p>
    <w:p w14:paraId="03883BDF" w14:textId="77777777" w:rsidR="00B700CA" w:rsidRPr="00635652" w:rsidRDefault="00B700CA" w:rsidP="00635652">
      <w:pPr>
        <w:widowControl w:val="0"/>
        <w:numPr>
          <w:ilvl w:val="0"/>
          <w:numId w:val="34"/>
        </w:numPr>
        <w:spacing w:line="480" w:lineRule="auto"/>
        <w:ind w:left="426" w:hanging="426"/>
        <w:rPr>
          <w:rFonts w:cs="Arial"/>
          <w:sz w:val="22"/>
          <w:szCs w:val="22"/>
        </w:rPr>
      </w:pPr>
      <w:r w:rsidRPr="00635652">
        <w:rPr>
          <w:rFonts w:cs="Arial"/>
          <w:sz w:val="22"/>
          <w:szCs w:val="22"/>
        </w:rPr>
        <w:t>cautious and proper disposal of needles, syringes, vials, ampoules and unused medication</w:t>
      </w:r>
      <w:r>
        <w:rPr>
          <w:rFonts w:cs="Arial"/>
          <w:sz w:val="22"/>
          <w:szCs w:val="22"/>
        </w:rPr>
        <w:t>.</w:t>
      </w:r>
    </w:p>
    <w:p w14:paraId="1C6D82DA" w14:textId="77777777" w:rsidR="00B700CA" w:rsidRDefault="00B700CA" w:rsidP="00635652">
      <w:pPr>
        <w:widowControl w:val="0"/>
        <w:spacing w:line="480" w:lineRule="auto"/>
        <w:rPr>
          <w:rFonts w:cs="Arial"/>
          <w:sz w:val="22"/>
          <w:szCs w:val="22"/>
        </w:rPr>
      </w:pPr>
    </w:p>
    <w:p w14:paraId="30419873" w14:textId="77777777" w:rsidR="00B700CA" w:rsidRPr="00635652" w:rsidRDefault="00B700CA" w:rsidP="00635652">
      <w:pPr>
        <w:widowControl w:val="0"/>
        <w:spacing w:line="480" w:lineRule="auto"/>
        <w:rPr>
          <w:rFonts w:cs="Arial"/>
          <w:sz w:val="22"/>
          <w:szCs w:val="22"/>
        </w:rPr>
      </w:pPr>
      <w:r w:rsidRPr="00635652">
        <w:rPr>
          <w:rFonts w:cs="Arial"/>
          <w:sz w:val="22"/>
          <w:szCs w:val="22"/>
        </w:rPr>
        <w:t>It is recommended that a needle not larger than 21 gauge is used to reduce fragmentation of the rubber stopper.</w:t>
      </w:r>
    </w:p>
    <w:p w14:paraId="5F82308B" w14:textId="77777777" w:rsidR="00B700CA" w:rsidRPr="00635652" w:rsidRDefault="00B700CA" w:rsidP="00635652">
      <w:pPr>
        <w:widowControl w:val="0"/>
        <w:spacing w:line="480" w:lineRule="auto"/>
        <w:rPr>
          <w:rFonts w:cs="Arial"/>
          <w:sz w:val="22"/>
          <w:szCs w:val="22"/>
        </w:rPr>
      </w:pPr>
    </w:p>
    <w:p w14:paraId="208D2A40"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As a single cytostatic:</w:t>
      </w:r>
    </w:p>
    <w:p w14:paraId="629AA659" w14:textId="77777777" w:rsidR="00B700CA" w:rsidRDefault="00B700CA" w:rsidP="00635652">
      <w:pPr>
        <w:widowControl w:val="0"/>
        <w:spacing w:line="480" w:lineRule="auto"/>
        <w:rPr>
          <w:rFonts w:cs="Arial"/>
          <w:sz w:val="22"/>
          <w:szCs w:val="22"/>
        </w:rPr>
      </w:pPr>
      <w:r w:rsidRPr="00635652">
        <w:rPr>
          <w:rFonts w:cs="Arial"/>
          <w:sz w:val="22"/>
          <w:szCs w:val="22"/>
        </w:rPr>
        <w:t>12 to 14</w:t>
      </w:r>
      <w:r>
        <w:rPr>
          <w:rFonts w:cs="Arial"/>
          <w:sz w:val="22"/>
          <w:szCs w:val="22"/>
        </w:rPr>
        <w:t> </w:t>
      </w:r>
      <w:r w:rsidRPr="00635652">
        <w:rPr>
          <w:rFonts w:cs="Arial"/>
          <w:sz w:val="22"/>
          <w:szCs w:val="22"/>
        </w:rPr>
        <w:t>mg/m</w:t>
      </w:r>
      <w:r w:rsidRPr="00635652">
        <w:rPr>
          <w:rFonts w:cs="Arial"/>
          <w:sz w:val="22"/>
          <w:szCs w:val="22"/>
          <w:vertAlign w:val="superscript"/>
        </w:rPr>
        <w:t>2</w:t>
      </w:r>
      <w:r w:rsidRPr="00635652">
        <w:rPr>
          <w:rFonts w:cs="Arial"/>
          <w:sz w:val="22"/>
          <w:szCs w:val="22"/>
        </w:rPr>
        <w:t xml:space="preserve"> once a month or every 35</w:t>
      </w:r>
      <w:r>
        <w:rPr>
          <w:rFonts w:cs="Arial"/>
          <w:sz w:val="22"/>
          <w:szCs w:val="22"/>
        </w:rPr>
        <w:t> days by intravenous infusion.</w:t>
      </w:r>
    </w:p>
    <w:p w14:paraId="61ECA103" w14:textId="77777777" w:rsidR="00B700CA" w:rsidRPr="00635652" w:rsidRDefault="00B700CA" w:rsidP="00635652">
      <w:pPr>
        <w:widowControl w:val="0"/>
        <w:spacing w:line="480" w:lineRule="auto"/>
        <w:rPr>
          <w:rFonts w:cs="Arial"/>
          <w:sz w:val="22"/>
          <w:szCs w:val="22"/>
        </w:rPr>
      </w:pPr>
    </w:p>
    <w:p w14:paraId="4DE9D385" w14:textId="77777777" w:rsidR="00B700CA" w:rsidRPr="00635652" w:rsidRDefault="00B700CA" w:rsidP="00635652">
      <w:pPr>
        <w:widowControl w:val="0"/>
        <w:spacing w:line="480" w:lineRule="auto"/>
        <w:rPr>
          <w:rFonts w:cs="Arial"/>
          <w:sz w:val="22"/>
          <w:szCs w:val="22"/>
        </w:rPr>
      </w:pPr>
      <w:r w:rsidRPr="00635652">
        <w:rPr>
          <w:rFonts w:cs="Arial"/>
          <w:sz w:val="22"/>
          <w:szCs w:val="22"/>
        </w:rPr>
        <w:t>The crystals are dissolved in 200</w:t>
      </w:r>
      <w:r>
        <w:rPr>
          <w:rFonts w:cs="Arial"/>
          <w:sz w:val="22"/>
          <w:szCs w:val="22"/>
        </w:rPr>
        <w:t> </w:t>
      </w:r>
      <w:r w:rsidRPr="00635652">
        <w:rPr>
          <w:rFonts w:cs="Arial"/>
          <w:sz w:val="22"/>
          <w:szCs w:val="22"/>
        </w:rPr>
        <w:t>ml of a 5</w:t>
      </w:r>
      <w:r>
        <w:rPr>
          <w:rFonts w:cs="Arial"/>
          <w:sz w:val="22"/>
          <w:szCs w:val="22"/>
        </w:rPr>
        <w:t> </w:t>
      </w:r>
      <w:r w:rsidRPr="00635652">
        <w:rPr>
          <w:rFonts w:cs="Arial"/>
          <w:sz w:val="22"/>
          <w:szCs w:val="22"/>
        </w:rPr>
        <w:t>% glucose solution, which is then administered over a period of 30</w:t>
      </w:r>
      <w:r>
        <w:rPr>
          <w:rFonts w:cs="Arial"/>
          <w:sz w:val="22"/>
          <w:szCs w:val="22"/>
        </w:rPr>
        <w:t> </w:t>
      </w:r>
      <w:r w:rsidRPr="00635652">
        <w:rPr>
          <w:rFonts w:cs="Arial"/>
          <w:sz w:val="22"/>
          <w:szCs w:val="22"/>
        </w:rPr>
        <w:t>minutes, preferably with Vitamin</w:t>
      </w:r>
      <w:r>
        <w:rPr>
          <w:rFonts w:cs="Arial"/>
          <w:sz w:val="22"/>
          <w:szCs w:val="22"/>
        </w:rPr>
        <w:t> </w:t>
      </w:r>
      <w:r w:rsidRPr="00635652">
        <w:rPr>
          <w:rFonts w:cs="Arial"/>
          <w:sz w:val="22"/>
          <w:szCs w:val="22"/>
        </w:rPr>
        <w:t xml:space="preserve">B </w:t>
      </w:r>
      <w:r>
        <w:rPr>
          <w:rFonts w:cs="Arial"/>
          <w:sz w:val="22"/>
          <w:szCs w:val="22"/>
        </w:rPr>
        <w:t>c</w:t>
      </w:r>
      <w:r w:rsidRPr="00635652">
        <w:rPr>
          <w:rFonts w:cs="Arial"/>
          <w:sz w:val="22"/>
          <w:szCs w:val="22"/>
        </w:rPr>
        <w:t>ompound.</w:t>
      </w:r>
    </w:p>
    <w:p w14:paraId="1E647095" w14:textId="77777777" w:rsidR="00B700CA" w:rsidRPr="00635652" w:rsidRDefault="00B700CA" w:rsidP="00635652">
      <w:pPr>
        <w:widowControl w:val="0"/>
        <w:spacing w:line="480" w:lineRule="auto"/>
        <w:rPr>
          <w:rFonts w:cs="Arial"/>
          <w:sz w:val="22"/>
          <w:szCs w:val="22"/>
        </w:rPr>
      </w:pPr>
    </w:p>
    <w:p w14:paraId="0E3FC0C0"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In combination therapy:</w:t>
      </w:r>
    </w:p>
    <w:p w14:paraId="3ED23734" w14:textId="77777777" w:rsidR="00B700CA" w:rsidRPr="00635652" w:rsidRDefault="00B700CA" w:rsidP="00635652">
      <w:pPr>
        <w:widowControl w:val="0"/>
        <w:spacing w:line="480" w:lineRule="auto"/>
        <w:rPr>
          <w:rFonts w:cs="Arial"/>
          <w:sz w:val="22"/>
          <w:szCs w:val="22"/>
        </w:rPr>
      </w:pPr>
      <w:r w:rsidRPr="00635652">
        <w:rPr>
          <w:rFonts w:cs="Arial"/>
          <w:sz w:val="22"/>
          <w:szCs w:val="22"/>
        </w:rPr>
        <w:t xml:space="preserve">MITOMYCIN-C is usually administered along with other agents (e.g. FOAM </w:t>
      </w:r>
      <w:r>
        <w:rPr>
          <w:rFonts w:cs="Arial"/>
          <w:sz w:val="22"/>
          <w:szCs w:val="22"/>
        </w:rPr>
        <w:t>–</w:t>
      </w:r>
      <w:r w:rsidRPr="00635652">
        <w:rPr>
          <w:rFonts w:cs="Arial"/>
          <w:sz w:val="22"/>
          <w:szCs w:val="22"/>
        </w:rPr>
        <w:t xml:space="preserve"> 5</w:t>
      </w:r>
      <w:r>
        <w:rPr>
          <w:rFonts w:cs="Arial"/>
          <w:sz w:val="22"/>
          <w:szCs w:val="22"/>
        </w:rPr>
        <w:t> </w:t>
      </w:r>
      <w:r w:rsidRPr="00635652">
        <w:rPr>
          <w:rFonts w:cs="Arial"/>
          <w:sz w:val="22"/>
          <w:szCs w:val="22"/>
        </w:rPr>
        <w:t>FU plus oncovin plus adriamycin plus MITOMYCIN-C; SMF - streptozotocin plus MITOMYCIN-C plus 5</w:t>
      </w:r>
      <w:r>
        <w:rPr>
          <w:rFonts w:cs="Arial"/>
          <w:sz w:val="22"/>
          <w:szCs w:val="22"/>
        </w:rPr>
        <w:t> </w:t>
      </w:r>
      <w:r w:rsidRPr="00635652">
        <w:rPr>
          <w:rFonts w:cs="Arial"/>
          <w:sz w:val="22"/>
          <w:szCs w:val="22"/>
        </w:rPr>
        <w:t xml:space="preserve">FU; AM - adriamycin plus MITOMYCIN-C; FAM </w:t>
      </w:r>
      <w:r>
        <w:rPr>
          <w:rFonts w:cs="Arial"/>
          <w:sz w:val="22"/>
          <w:szCs w:val="22"/>
        </w:rPr>
        <w:t>–</w:t>
      </w:r>
      <w:r w:rsidRPr="00635652">
        <w:rPr>
          <w:rFonts w:cs="Arial"/>
          <w:sz w:val="22"/>
          <w:szCs w:val="22"/>
        </w:rPr>
        <w:t xml:space="preserve"> 5</w:t>
      </w:r>
      <w:r>
        <w:rPr>
          <w:rFonts w:cs="Arial"/>
          <w:sz w:val="22"/>
          <w:szCs w:val="22"/>
        </w:rPr>
        <w:t> </w:t>
      </w:r>
      <w:r w:rsidRPr="00635652">
        <w:rPr>
          <w:rFonts w:cs="Arial"/>
          <w:sz w:val="22"/>
          <w:szCs w:val="22"/>
        </w:rPr>
        <w:t>FU plus adriamycin plus MITOMYCIN-C) in a dosage of 10</w:t>
      </w:r>
      <w:r>
        <w:rPr>
          <w:rFonts w:cs="Arial"/>
          <w:sz w:val="22"/>
          <w:szCs w:val="22"/>
        </w:rPr>
        <w:t> </w:t>
      </w:r>
      <w:r w:rsidRPr="00635652">
        <w:rPr>
          <w:rFonts w:cs="Arial"/>
          <w:sz w:val="22"/>
          <w:szCs w:val="22"/>
        </w:rPr>
        <w:t>mg/m</w:t>
      </w:r>
      <w:r w:rsidRPr="00635652">
        <w:rPr>
          <w:rFonts w:cs="Arial"/>
          <w:sz w:val="22"/>
          <w:szCs w:val="22"/>
          <w:vertAlign w:val="superscript"/>
        </w:rPr>
        <w:t>2</w:t>
      </w:r>
      <w:r w:rsidRPr="00635652">
        <w:rPr>
          <w:rFonts w:cs="Arial"/>
          <w:sz w:val="22"/>
          <w:szCs w:val="22"/>
        </w:rPr>
        <w:t xml:space="preserve"> every 6 to 9</w:t>
      </w:r>
      <w:r>
        <w:rPr>
          <w:rFonts w:cs="Arial"/>
          <w:sz w:val="22"/>
          <w:szCs w:val="22"/>
        </w:rPr>
        <w:t> </w:t>
      </w:r>
      <w:r w:rsidRPr="00635652">
        <w:rPr>
          <w:rFonts w:cs="Arial"/>
          <w:sz w:val="22"/>
          <w:szCs w:val="22"/>
        </w:rPr>
        <w:t>weeks. Higher doses have also been given. Although MITOMYCIN-C is primarily administered intravenously other methods of</w:t>
      </w:r>
      <w:r>
        <w:rPr>
          <w:rFonts w:cs="Arial"/>
          <w:sz w:val="22"/>
          <w:szCs w:val="22"/>
        </w:rPr>
        <w:t xml:space="preserve"> administration have been used.</w:t>
      </w:r>
    </w:p>
    <w:p w14:paraId="219C9B3C"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Intra-arterial injection:</w:t>
      </w:r>
    </w:p>
    <w:p w14:paraId="0FFC225E" w14:textId="77777777" w:rsidR="00B700CA" w:rsidRPr="00635652" w:rsidRDefault="00B700CA" w:rsidP="00635652">
      <w:pPr>
        <w:widowControl w:val="0"/>
        <w:spacing w:line="480" w:lineRule="auto"/>
        <w:rPr>
          <w:rFonts w:cs="Arial"/>
          <w:sz w:val="22"/>
          <w:szCs w:val="22"/>
        </w:rPr>
      </w:pPr>
      <w:r w:rsidRPr="00635652">
        <w:rPr>
          <w:rFonts w:cs="Arial"/>
          <w:sz w:val="22"/>
          <w:szCs w:val="22"/>
        </w:rPr>
        <w:t>Intra-arterial injection is used only when high concentrations of MITOMYCIN-C are required to attack the tumour. Water, saline or 5</w:t>
      </w:r>
      <w:r>
        <w:rPr>
          <w:rFonts w:cs="Arial"/>
          <w:sz w:val="22"/>
          <w:szCs w:val="22"/>
        </w:rPr>
        <w:t> </w:t>
      </w:r>
      <w:r w:rsidRPr="00635652">
        <w:rPr>
          <w:rFonts w:cs="Arial"/>
          <w:sz w:val="22"/>
          <w:szCs w:val="22"/>
        </w:rPr>
        <w:t>% dextrose/water may be used. T</w:t>
      </w:r>
      <w:r>
        <w:rPr>
          <w:rFonts w:cs="Arial"/>
          <w:sz w:val="22"/>
          <w:szCs w:val="22"/>
        </w:rPr>
        <w:t>he vehicle of choice is saline.</w:t>
      </w:r>
    </w:p>
    <w:p w14:paraId="56BF3442" w14:textId="77777777" w:rsidR="00B700CA" w:rsidRPr="00635652" w:rsidRDefault="00B700CA" w:rsidP="00635652">
      <w:pPr>
        <w:widowControl w:val="0"/>
        <w:spacing w:line="480" w:lineRule="auto"/>
        <w:rPr>
          <w:rFonts w:cs="Arial"/>
          <w:sz w:val="22"/>
          <w:szCs w:val="22"/>
        </w:rPr>
      </w:pPr>
    </w:p>
    <w:p w14:paraId="0044A617" w14:textId="77777777" w:rsidR="00B700CA" w:rsidRPr="00635652" w:rsidRDefault="00B700CA" w:rsidP="00635652">
      <w:pPr>
        <w:widowControl w:val="0"/>
        <w:spacing w:line="480" w:lineRule="auto"/>
        <w:rPr>
          <w:rFonts w:cs="Arial"/>
          <w:b/>
          <w:sz w:val="22"/>
          <w:szCs w:val="22"/>
        </w:rPr>
      </w:pPr>
      <w:r w:rsidRPr="00635652">
        <w:rPr>
          <w:rFonts w:cs="Arial"/>
          <w:b/>
          <w:sz w:val="22"/>
          <w:szCs w:val="22"/>
        </w:rPr>
        <w:t>Intravesical infusion:</w:t>
      </w:r>
    </w:p>
    <w:p w14:paraId="64A47939" w14:textId="77777777" w:rsidR="00B700CA" w:rsidRPr="00635652" w:rsidRDefault="00B700CA" w:rsidP="00635652">
      <w:pPr>
        <w:widowControl w:val="0"/>
        <w:spacing w:line="480" w:lineRule="auto"/>
        <w:rPr>
          <w:rFonts w:cs="Arial"/>
          <w:sz w:val="22"/>
          <w:szCs w:val="22"/>
        </w:rPr>
      </w:pPr>
      <w:r w:rsidRPr="00635652">
        <w:rPr>
          <w:rFonts w:cs="Arial"/>
          <w:sz w:val="22"/>
          <w:szCs w:val="22"/>
        </w:rPr>
        <w:t>After catheterization with a Nelaton’s catheter, 10</w:t>
      </w:r>
      <w:r>
        <w:rPr>
          <w:rFonts w:cs="Arial"/>
          <w:sz w:val="22"/>
          <w:szCs w:val="22"/>
        </w:rPr>
        <w:t> </w:t>
      </w:r>
      <w:r w:rsidRPr="00635652">
        <w:rPr>
          <w:rFonts w:cs="Arial"/>
          <w:sz w:val="22"/>
          <w:szCs w:val="22"/>
        </w:rPr>
        <w:t>mg to 40</w:t>
      </w:r>
      <w:r>
        <w:rPr>
          <w:rFonts w:cs="Arial"/>
          <w:sz w:val="22"/>
          <w:szCs w:val="22"/>
        </w:rPr>
        <w:t xml:space="preserve"> mg, </w:t>
      </w:r>
      <w:r w:rsidRPr="00635652">
        <w:rPr>
          <w:rFonts w:cs="Arial"/>
          <w:sz w:val="22"/>
          <w:szCs w:val="22"/>
        </w:rPr>
        <w:t>dissolved in 20</w:t>
      </w:r>
      <w:r>
        <w:rPr>
          <w:rFonts w:cs="Arial"/>
          <w:sz w:val="22"/>
          <w:szCs w:val="22"/>
        </w:rPr>
        <w:t> </w:t>
      </w:r>
      <w:r w:rsidRPr="00635652">
        <w:rPr>
          <w:rFonts w:cs="Arial"/>
          <w:sz w:val="22"/>
          <w:szCs w:val="22"/>
        </w:rPr>
        <w:t>ml to 40</w:t>
      </w:r>
      <w:r>
        <w:rPr>
          <w:rFonts w:cs="Arial"/>
          <w:sz w:val="22"/>
          <w:szCs w:val="22"/>
        </w:rPr>
        <w:t> </w:t>
      </w:r>
      <w:r w:rsidRPr="00635652">
        <w:rPr>
          <w:rFonts w:cs="Arial"/>
          <w:sz w:val="22"/>
          <w:szCs w:val="22"/>
        </w:rPr>
        <w:t>ml of sterile distilled water, is injected for th</w:t>
      </w:r>
      <w:r>
        <w:rPr>
          <w:rFonts w:cs="Arial"/>
          <w:sz w:val="22"/>
          <w:szCs w:val="22"/>
        </w:rPr>
        <w:t>e treatment of bladder tumours.</w:t>
      </w:r>
    </w:p>
    <w:p w14:paraId="14CB7ABE" w14:textId="77777777" w:rsidR="00B700CA" w:rsidRPr="00635652" w:rsidRDefault="00B700CA" w:rsidP="00635652">
      <w:pPr>
        <w:widowControl w:val="0"/>
        <w:spacing w:line="480" w:lineRule="auto"/>
        <w:rPr>
          <w:rFonts w:cs="Arial"/>
          <w:sz w:val="22"/>
          <w:szCs w:val="22"/>
        </w:rPr>
      </w:pPr>
    </w:p>
    <w:p w14:paraId="5D3096A0" w14:textId="77777777" w:rsidR="00B700CA" w:rsidRPr="00635652" w:rsidRDefault="00B700CA" w:rsidP="00635652">
      <w:pPr>
        <w:widowControl w:val="0"/>
        <w:spacing w:line="480" w:lineRule="auto"/>
        <w:rPr>
          <w:rFonts w:cs="Arial"/>
          <w:b/>
          <w:sz w:val="22"/>
          <w:szCs w:val="22"/>
        </w:rPr>
      </w:pPr>
      <w:r>
        <w:rPr>
          <w:rFonts w:cs="Arial"/>
          <w:b/>
          <w:sz w:val="22"/>
          <w:szCs w:val="22"/>
        </w:rPr>
        <w:t>SIDE EFFECTS</w:t>
      </w:r>
    </w:p>
    <w:p w14:paraId="2C0F5C88"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Haematologic:</w:t>
      </w:r>
    </w:p>
    <w:p w14:paraId="645D902A" w14:textId="77777777" w:rsidR="00B700CA" w:rsidRDefault="00B700CA" w:rsidP="00635652">
      <w:pPr>
        <w:widowControl w:val="0"/>
        <w:spacing w:line="480" w:lineRule="auto"/>
        <w:rPr>
          <w:rFonts w:cs="Arial"/>
          <w:sz w:val="22"/>
          <w:szCs w:val="22"/>
        </w:rPr>
      </w:pPr>
      <w:r w:rsidRPr="00635652">
        <w:rPr>
          <w:rFonts w:cs="Arial"/>
          <w:sz w:val="22"/>
          <w:szCs w:val="22"/>
        </w:rPr>
        <w:t>Prolonged depress</w:t>
      </w:r>
      <w:r>
        <w:rPr>
          <w:rFonts w:cs="Arial"/>
          <w:sz w:val="22"/>
          <w:szCs w:val="22"/>
        </w:rPr>
        <w:t>ion of the haemogram may occur.</w:t>
      </w:r>
    </w:p>
    <w:p w14:paraId="74709563" w14:textId="77777777" w:rsidR="00B700CA" w:rsidRPr="00635652" w:rsidRDefault="00B700CA" w:rsidP="00635652">
      <w:pPr>
        <w:widowControl w:val="0"/>
        <w:spacing w:line="480" w:lineRule="auto"/>
        <w:rPr>
          <w:rFonts w:cs="Arial"/>
          <w:sz w:val="22"/>
          <w:szCs w:val="22"/>
        </w:rPr>
      </w:pPr>
    </w:p>
    <w:p w14:paraId="1E1FFA04" w14:textId="77777777" w:rsidR="00B700CA" w:rsidRPr="00635652" w:rsidRDefault="00B700CA" w:rsidP="00635652">
      <w:pPr>
        <w:widowControl w:val="0"/>
        <w:spacing w:line="480" w:lineRule="auto"/>
        <w:rPr>
          <w:rFonts w:cs="Arial"/>
          <w:sz w:val="22"/>
          <w:szCs w:val="22"/>
        </w:rPr>
      </w:pPr>
      <w:r w:rsidRPr="00635652">
        <w:rPr>
          <w:rFonts w:cs="Arial"/>
          <w:sz w:val="22"/>
          <w:szCs w:val="22"/>
        </w:rPr>
        <w:t>Leucopenia, thrombocytopenia, neutropenia, haemorrhage, anaemia and microangiopathic haemolytic anaemia may occur. Regular full blood counts should be taken, paying special attention to the count of leukocytes and platelets. Treatment should not be repeated until these counts (leukocytes and platelets) return to normal.</w:t>
      </w:r>
    </w:p>
    <w:p w14:paraId="4BC73974" w14:textId="77777777" w:rsidR="00B700CA" w:rsidRPr="00635652" w:rsidRDefault="00B700CA" w:rsidP="00635652">
      <w:pPr>
        <w:widowControl w:val="0"/>
        <w:spacing w:line="480" w:lineRule="auto"/>
        <w:rPr>
          <w:rFonts w:cs="Arial"/>
          <w:sz w:val="22"/>
          <w:szCs w:val="22"/>
        </w:rPr>
      </w:pPr>
    </w:p>
    <w:p w14:paraId="34F3F45A"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Hepatic:</w:t>
      </w:r>
    </w:p>
    <w:p w14:paraId="0DF1F90A" w14:textId="77777777" w:rsidR="00B700CA" w:rsidRPr="00635652" w:rsidRDefault="00B700CA" w:rsidP="00635652">
      <w:pPr>
        <w:widowControl w:val="0"/>
        <w:spacing w:line="480" w:lineRule="auto"/>
        <w:rPr>
          <w:rFonts w:cs="Arial"/>
          <w:sz w:val="22"/>
          <w:szCs w:val="22"/>
        </w:rPr>
      </w:pPr>
      <w:r w:rsidRPr="00635652">
        <w:rPr>
          <w:rFonts w:cs="Arial"/>
          <w:sz w:val="22"/>
          <w:szCs w:val="22"/>
        </w:rPr>
        <w:t>Hepatic disorders may occur (cholecystitis, bile duct necrosis, paren</w:t>
      </w:r>
      <w:r>
        <w:rPr>
          <w:rFonts w:cs="Arial"/>
          <w:sz w:val="22"/>
          <w:szCs w:val="22"/>
        </w:rPr>
        <w:t>chymatous liver disorder, etc).</w:t>
      </w:r>
    </w:p>
    <w:p w14:paraId="16EBAE08" w14:textId="77777777" w:rsidR="00B700CA" w:rsidRPr="00635652" w:rsidRDefault="00B700CA" w:rsidP="00635652">
      <w:pPr>
        <w:widowControl w:val="0"/>
        <w:spacing w:line="480" w:lineRule="auto"/>
        <w:rPr>
          <w:rFonts w:cs="Arial"/>
          <w:sz w:val="22"/>
          <w:szCs w:val="22"/>
        </w:rPr>
      </w:pPr>
    </w:p>
    <w:p w14:paraId="6A8021A0"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Renal:</w:t>
      </w:r>
    </w:p>
    <w:p w14:paraId="5096E438" w14:textId="77777777" w:rsidR="00B700CA" w:rsidRPr="00635652" w:rsidRDefault="00B700CA" w:rsidP="00635652">
      <w:pPr>
        <w:widowControl w:val="0"/>
        <w:spacing w:line="480" w:lineRule="auto"/>
        <w:rPr>
          <w:rFonts w:cs="Arial"/>
          <w:sz w:val="22"/>
          <w:szCs w:val="22"/>
        </w:rPr>
      </w:pPr>
      <w:r w:rsidRPr="00635652">
        <w:rPr>
          <w:rFonts w:cs="Arial"/>
          <w:sz w:val="22"/>
          <w:szCs w:val="22"/>
        </w:rPr>
        <w:t>Since haemolytic uraemic syndrome and proteinuria, haematuria, oedema and hypertension may occur, monitor the patients carefully by periodical examinations. If any abnormal findings are observed, discontinue administration, or adequate measures should be taken.</w:t>
      </w:r>
    </w:p>
    <w:p w14:paraId="47BE242A" w14:textId="77777777" w:rsidR="00B700CA" w:rsidRPr="00635652" w:rsidRDefault="00B700CA" w:rsidP="00635652">
      <w:pPr>
        <w:widowControl w:val="0"/>
        <w:spacing w:line="480" w:lineRule="auto"/>
        <w:rPr>
          <w:rFonts w:cs="Arial"/>
          <w:sz w:val="22"/>
          <w:szCs w:val="22"/>
        </w:rPr>
      </w:pPr>
    </w:p>
    <w:p w14:paraId="647E47B5"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Gastrointestinal:</w:t>
      </w:r>
    </w:p>
    <w:p w14:paraId="5B91CC89" w14:textId="77777777" w:rsidR="00B700CA" w:rsidRPr="00635652" w:rsidRDefault="00B700CA" w:rsidP="00635652">
      <w:pPr>
        <w:widowControl w:val="0"/>
        <w:spacing w:line="480" w:lineRule="auto"/>
        <w:rPr>
          <w:rFonts w:cs="Arial"/>
          <w:sz w:val="22"/>
          <w:szCs w:val="22"/>
        </w:rPr>
      </w:pPr>
      <w:r w:rsidRPr="00635652">
        <w:rPr>
          <w:rFonts w:cs="Arial"/>
          <w:sz w:val="22"/>
          <w:szCs w:val="22"/>
        </w:rPr>
        <w:t>Anorexia, nausea and vomiting</w:t>
      </w:r>
      <w:r>
        <w:rPr>
          <w:rFonts w:cs="Arial"/>
          <w:sz w:val="22"/>
          <w:szCs w:val="22"/>
        </w:rPr>
        <w:t xml:space="preserve"> and stomatitis may occur.</w:t>
      </w:r>
    </w:p>
    <w:p w14:paraId="03607F30" w14:textId="77777777" w:rsidR="00B700CA" w:rsidRPr="00635652" w:rsidRDefault="00B700CA" w:rsidP="00635652">
      <w:pPr>
        <w:widowControl w:val="0"/>
        <w:spacing w:line="480" w:lineRule="auto"/>
        <w:rPr>
          <w:rFonts w:cs="Arial"/>
          <w:sz w:val="22"/>
          <w:szCs w:val="22"/>
        </w:rPr>
      </w:pPr>
    </w:p>
    <w:p w14:paraId="27FBF8A1"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Hypersensitivity:</w:t>
      </w:r>
    </w:p>
    <w:p w14:paraId="087E0811" w14:textId="77777777" w:rsidR="00B700CA" w:rsidRPr="00635652" w:rsidRDefault="00B700CA" w:rsidP="00635652">
      <w:pPr>
        <w:widowControl w:val="0"/>
        <w:spacing w:line="480" w:lineRule="auto"/>
        <w:rPr>
          <w:rFonts w:cs="Arial"/>
          <w:sz w:val="22"/>
          <w:szCs w:val="22"/>
        </w:rPr>
      </w:pPr>
      <w:r w:rsidRPr="00635652">
        <w:rPr>
          <w:rFonts w:cs="Arial"/>
          <w:sz w:val="22"/>
          <w:szCs w:val="22"/>
        </w:rPr>
        <w:t>Hypersensitivity reactions such as rash may occur</w:t>
      </w:r>
      <w:r>
        <w:rPr>
          <w:rFonts w:cs="Arial"/>
          <w:sz w:val="22"/>
          <w:szCs w:val="22"/>
        </w:rPr>
        <w:t>.</w:t>
      </w:r>
    </w:p>
    <w:p w14:paraId="660823E7" w14:textId="77777777" w:rsidR="00B700CA" w:rsidRPr="00635652" w:rsidRDefault="00B700CA" w:rsidP="00635652">
      <w:pPr>
        <w:widowControl w:val="0"/>
        <w:spacing w:line="480" w:lineRule="auto"/>
        <w:rPr>
          <w:rFonts w:cs="Arial"/>
          <w:sz w:val="22"/>
          <w:szCs w:val="22"/>
        </w:rPr>
      </w:pPr>
    </w:p>
    <w:p w14:paraId="615649CE"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Urinary:</w:t>
      </w:r>
    </w:p>
    <w:p w14:paraId="465A4B76" w14:textId="77777777" w:rsidR="00B700CA" w:rsidRPr="00635652" w:rsidRDefault="00B700CA" w:rsidP="00635652">
      <w:pPr>
        <w:widowControl w:val="0"/>
        <w:spacing w:line="480" w:lineRule="auto"/>
        <w:rPr>
          <w:rFonts w:cs="Arial"/>
          <w:sz w:val="22"/>
          <w:szCs w:val="22"/>
        </w:rPr>
      </w:pPr>
      <w:r w:rsidRPr="00635652">
        <w:rPr>
          <w:rFonts w:cs="Arial"/>
          <w:sz w:val="22"/>
          <w:szCs w:val="22"/>
        </w:rPr>
        <w:t xml:space="preserve">Cystitis, haematuria, or atrophy of the bladder caused by bladder </w:t>
      </w:r>
      <w:r>
        <w:rPr>
          <w:rFonts w:cs="Arial"/>
          <w:sz w:val="22"/>
          <w:szCs w:val="22"/>
        </w:rPr>
        <w:t>instillation therapy may occur.</w:t>
      </w:r>
    </w:p>
    <w:p w14:paraId="110DCFBA" w14:textId="77777777" w:rsidR="00B700CA" w:rsidRPr="00635652" w:rsidRDefault="00B700CA" w:rsidP="00635652">
      <w:pPr>
        <w:widowControl w:val="0"/>
        <w:spacing w:line="480" w:lineRule="auto"/>
        <w:rPr>
          <w:rFonts w:cs="Arial"/>
          <w:sz w:val="22"/>
          <w:szCs w:val="22"/>
        </w:rPr>
      </w:pPr>
    </w:p>
    <w:p w14:paraId="59E6CE96"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Respiratory:</w:t>
      </w:r>
    </w:p>
    <w:p w14:paraId="06903D4B" w14:textId="77777777" w:rsidR="00B700CA" w:rsidRPr="00635652" w:rsidRDefault="00B700CA" w:rsidP="00635652">
      <w:pPr>
        <w:widowControl w:val="0"/>
        <w:spacing w:line="480" w:lineRule="auto"/>
        <w:rPr>
          <w:rFonts w:cs="Arial"/>
          <w:sz w:val="22"/>
          <w:szCs w:val="22"/>
        </w:rPr>
      </w:pPr>
      <w:r w:rsidRPr="00635652">
        <w:rPr>
          <w:rFonts w:cs="Arial"/>
          <w:sz w:val="22"/>
          <w:szCs w:val="22"/>
        </w:rPr>
        <w:t xml:space="preserve">Interstitial pneumonia and pulmonary fibrosis may occur (accompanied by fever, coughing, dyspnoea, abnormal </w:t>
      </w:r>
      <w:r>
        <w:rPr>
          <w:rFonts w:cs="Arial"/>
          <w:sz w:val="22"/>
          <w:szCs w:val="22"/>
        </w:rPr>
        <w:t>chest x-rays and eosinophilia).</w:t>
      </w:r>
    </w:p>
    <w:p w14:paraId="668C0FD4" w14:textId="77777777" w:rsidR="00B700CA" w:rsidRPr="00635652" w:rsidRDefault="00B700CA" w:rsidP="00635652">
      <w:pPr>
        <w:widowControl w:val="0"/>
        <w:spacing w:line="480" w:lineRule="auto"/>
        <w:rPr>
          <w:rFonts w:cs="Arial"/>
          <w:sz w:val="22"/>
          <w:szCs w:val="22"/>
        </w:rPr>
      </w:pPr>
    </w:p>
    <w:p w14:paraId="264830F4" w14:textId="77777777" w:rsidR="00B700CA" w:rsidRPr="00635652" w:rsidRDefault="00B700CA" w:rsidP="00635652">
      <w:pPr>
        <w:widowControl w:val="0"/>
        <w:spacing w:line="480" w:lineRule="auto"/>
        <w:rPr>
          <w:rFonts w:cs="Arial"/>
          <w:b/>
          <w:i/>
          <w:sz w:val="22"/>
          <w:szCs w:val="22"/>
        </w:rPr>
      </w:pPr>
      <w:r w:rsidRPr="00635652">
        <w:rPr>
          <w:rFonts w:cs="Arial"/>
          <w:b/>
          <w:i/>
          <w:sz w:val="22"/>
          <w:szCs w:val="22"/>
        </w:rPr>
        <w:t>Others:</w:t>
      </w:r>
    </w:p>
    <w:p w14:paraId="3A8ABA90" w14:textId="77777777" w:rsidR="00B700CA" w:rsidRPr="00635652" w:rsidRDefault="00B700CA" w:rsidP="00635652">
      <w:pPr>
        <w:widowControl w:val="0"/>
        <w:spacing w:line="480" w:lineRule="auto"/>
        <w:rPr>
          <w:rFonts w:cs="Arial"/>
          <w:sz w:val="22"/>
          <w:szCs w:val="22"/>
        </w:rPr>
      </w:pPr>
      <w:r w:rsidRPr="00635652">
        <w:rPr>
          <w:rFonts w:cs="Arial"/>
          <w:sz w:val="22"/>
          <w:szCs w:val="22"/>
        </w:rPr>
        <w:t xml:space="preserve">Fever, </w:t>
      </w:r>
      <w:r>
        <w:rPr>
          <w:rFonts w:cs="Arial"/>
          <w:sz w:val="22"/>
          <w:szCs w:val="22"/>
        </w:rPr>
        <w:t>malaise and alopecia may occur.</w:t>
      </w:r>
    </w:p>
    <w:p w14:paraId="7723E972" w14:textId="77777777" w:rsidR="00B700CA" w:rsidRPr="00635652" w:rsidRDefault="00B700CA" w:rsidP="00635652">
      <w:pPr>
        <w:widowControl w:val="0"/>
        <w:spacing w:line="480" w:lineRule="auto"/>
        <w:rPr>
          <w:rFonts w:cs="Arial"/>
          <w:sz w:val="22"/>
          <w:szCs w:val="22"/>
        </w:rPr>
      </w:pPr>
    </w:p>
    <w:p w14:paraId="37BFB107" w14:textId="77777777" w:rsidR="00B700CA" w:rsidRDefault="00B700CA" w:rsidP="00635652">
      <w:pPr>
        <w:pStyle w:val="BodyText3"/>
        <w:spacing w:line="480" w:lineRule="auto"/>
        <w:rPr>
          <w:rFonts w:cs="Arial"/>
          <w:i w:val="0"/>
          <w:iCs/>
          <w:sz w:val="22"/>
          <w:szCs w:val="22"/>
        </w:rPr>
      </w:pPr>
      <w:r w:rsidRPr="00635652">
        <w:rPr>
          <w:rFonts w:cs="Arial"/>
          <w:i w:val="0"/>
          <w:iCs/>
          <w:sz w:val="22"/>
          <w:szCs w:val="22"/>
        </w:rPr>
        <w:t>KNOWN SYMPTOMS OF OVERDOSAGE AND PARTICULARS OF ITS TREATMENTS</w:t>
      </w:r>
    </w:p>
    <w:p w14:paraId="4FF721B3" w14:textId="77777777" w:rsidR="00B700CA" w:rsidRPr="00635652" w:rsidRDefault="00B700CA" w:rsidP="00635652">
      <w:pPr>
        <w:pStyle w:val="BodyText3"/>
        <w:spacing w:line="480" w:lineRule="auto"/>
        <w:rPr>
          <w:rFonts w:cs="Arial"/>
          <w:i w:val="0"/>
          <w:iCs/>
          <w:sz w:val="22"/>
          <w:szCs w:val="22"/>
        </w:rPr>
      </w:pPr>
      <w:r w:rsidRPr="00635652">
        <w:rPr>
          <w:rFonts w:cs="Arial"/>
          <w:i w:val="0"/>
          <w:iCs/>
          <w:sz w:val="22"/>
          <w:szCs w:val="22"/>
        </w:rPr>
        <w:t>Symptoms</w:t>
      </w:r>
    </w:p>
    <w:p w14:paraId="56D4A6CB" w14:textId="77777777" w:rsidR="00B700CA" w:rsidRPr="00635652" w:rsidRDefault="00B700CA" w:rsidP="00635652">
      <w:pPr>
        <w:widowControl w:val="0"/>
        <w:spacing w:line="480" w:lineRule="auto"/>
        <w:rPr>
          <w:rFonts w:cs="Arial"/>
          <w:sz w:val="22"/>
          <w:szCs w:val="22"/>
        </w:rPr>
      </w:pPr>
      <w:r w:rsidRPr="00635652">
        <w:rPr>
          <w:rFonts w:cs="Arial"/>
          <w:sz w:val="22"/>
          <w:szCs w:val="22"/>
        </w:rPr>
        <w:t>See SIDE EFFECTS</w:t>
      </w:r>
      <w:r>
        <w:rPr>
          <w:rFonts w:cs="Arial"/>
          <w:sz w:val="22"/>
          <w:szCs w:val="22"/>
        </w:rPr>
        <w:t>.</w:t>
      </w:r>
    </w:p>
    <w:p w14:paraId="370FA0A0" w14:textId="77777777" w:rsidR="00B700CA" w:rsidRDefault="00B700CA" w:rsidP="00635652">
      <w:pPr>
        <w:pStyle w:val="BodyText3"/>
        <w:spacing w:line="480" w:lineRule="auto"/>
        <w:rPr>
          <w:rFonts w:cs="Arial"/>
          <w:b w:val="0"/>
          <w:i w:val="0"/>
          <w:iCs/>
          <w:sz w:val="22"/>
          <w:szCs w:val="22"/>
        </w:rPr>
      </w:pPr>
    </w:p>
    <w:p w14:paraId="6D91DCA9" w14:textId="77777777" w:rsidR="00B700CA" w:rsidRPr="00635652" w:rsidRDefault="00B700CA" w:rsidP="00635652">
      <w:pPr>
        <w:pStyle w:val="norm1"/>
        <w:widowControl w:val="0"/>
        <w:tabs>
          <w:tab w:val="clear" w:pos="454"/>
        </w:tabs>
        <w:spacing w:line="480" w:lineRule="auto"/>
        <w:ind w:left="0" w:firstLine="0"/>
        <w:jc w:val="left"/>
        <w:rPr>
          <w:b/>
          <w:iCs/>
          <w:sz w:val="22"/>
          <w:szCs w:val="22"/>
        </w:rPr>
      </w:pPr>
      <w:r w:rsidRPr="00635652">
        <w:rPr>
          <w:b/>
          <w:iCs/>
          <w:sz w:val="22"/>
          <w:szCs w:val="22"/>
        </w:rPr>
        <w:t>Treatment</w:t>
      </w:r>
    </w:p>
    <w:p w14:paraId="0FCB24A0" w14:textId="77777777" w:rsidR="00B700CA" w:rsidRPr="00635652" w:rsidRDefault="00B700CA" w:rsidP="00635652">
      <w:pPr>
        <w:pStyle w:val="norm1"/>
        <w:widowControl w:val="0"/>
        <w:tabs>
          <w:tab w:val="clear" w:pos="454"/>
        </w:tabs>
        <w:spacing w:line="480" w:lineRule="auto"/>
        <w:ind w:left="0" w:firstLine="0"/>
        <w:jc w:val="left"/>
        <w:rPr>
          <w:sz w:val="22"/>
          <w:szCs w:val="22"/>
        </w:rPr>
      </w:pPr>
      <w:r w:rsidRPr="00635652">
        <w:rPr>
          <w:sz w:val="22"/>
          <w:szCs w:val="22"/>
        </w:rPr>
        <w:t>Treatment is symptomatic.</w:t>
      </w:r>
    </w:p>
    <w:p w14:paraId="7F48D0E2" w14:textId="77777777" w:rsidR="00B700CA" w:rsidRPr="00635652" w:rsidRDefault="00B700CA" w:rsidP="00635652">
      <w:pPr>
        <w:pStyle w:val="BodyText3"/>
        <w:spacing w:line="480" w:lineRule="auto"/>
        <w:rPr>
          <w:rFonts w:cs="Arial"/>
          <w:b w:val="0"/>
          <w:i w:val="0"/>
          <w:iCs/>
          <w:sz w:val="22"/>
          <w:szCs w:val="22"/>
        </w:rPr>
      </w:pPr>
    </w:p>
    <w:p w14:paraId="2782683D" w14:textId="77777777" w:rsidR="00B700CA" w:rsidRPr="00635652" w:rsidRDefault="00B700CA" w:rsidP="00635652">
      <w:pPr>
        <w:pStyle w:val="norm1"/>
        <w:widowControl w:val="0"/>
        <w:tabs>
          <w:tab w:val="clear" w:pos="454"/>
        </w:tabs>
        <w:spacing w:line="480" w:lineRule="auto"/>
        <w:ind w:left="0" w:firstLine="0"/>
        <w:jc w:val="left"/>
        <w:rPr>
          <w:b/>
          <w:bCs/>
          <w:caps/>
          <w:sz w:val="22"/>
          <w:szCs w:val="22"/>
        </w:rPr>
      </w:pPr>
      <w:r w:rsidRPr="00635652">
        <w:rPr>
          <w:b/>
          <w:bCs/>
          <w:caps/>
          <w:sz w:val="22"/>
          <w:szCs w:val="22"/>
        </w:rPr>
        <w:t>IDENTIFICATION</w:t>
      </w:r>
    </w:p>
    <w:p w14:paraId="50E5A2A2" w14:textId="77777777" w:rsidR="00B700CA" w:rsidRPr="00635652" w:rsidRDefault="00B700CA" w:rsidP="00635652">
      <w:pPr>
        <w:widowControl w:val="0"/>
        <w:spacing w:line="480" w:lineRule="auto"/>
        <w:rPr>
          <w:rFonts w:cs="Arial"/>
          <w:bCs/>
          <w:sz w:val="22"/>
          <w:szCs w:val="22"/>
        </w:rPr>
      </w:pPr>
      <w:r w:rsidRPr="00635652">
        <w:rPr>
          <w:rFonts w:cs="Arial"/>
          <w:bCs/>
          <w:sz w:val="22"/>
          <w:szCs w:val="22"/>
        </w:rPr>
        <w:t>Blue-purple powder.</w:t>
      </w:r>
    </w:p>
    <w:p w14:paraId="149CFCB7" w14:textId="77777777" w:rsidR="00B700CA" w:rsidRPr="00635652" w:rsidRDefault="00B700CA" w:rsidP="00635652">
      <w:pPr>
        <w:pStyle w:val="ListParagraph"/>
        <w:widowControl w:val="0"/>
        <w:spacing w:line="480" w:lineRule="auto"/>
        <w:ind w:left="0"/>
        <w:rPr>
          <w:rFonts w:ascii="Arial" w:hAnsi="Arial" w:cs="Arial"/>
          <w:bCs/>
          <w:caps/>
          <w:lang w:val="en-GB"/>
        </w:rPr>
      </w:pPr>
    </w:p>
    <w:p w14:paraId="6597C67B" w14:textId="77777777" w:rsidR="00B700CA" w:rsidRPr="00635652" w:rsidRDefault="00B700CA" w:rsidP="00635652">
      <w:pPr>
        <w:pStyle w:val="norm1"/>
        <w:widowControl w:val="0"/>
        <w:tabs>
          <w:tab w:val="clear" w:pos="454"/>
        </w:tabs>
        <w:spacing w:line="480" w:lineRule="auto"/>
        <w:ind w:left="0" w:firstLine="0"/>
        <w:jc w:val="left"/>
        <w:rPr>
          <w:b/>
          <w:bCs/>
          <w:caps/>
          <w:sz w:val="22"/>
          <w:szCs w:val="22"/>
        </w:rPr>
      </w:pPr>
      <w:r w:rsidRPr="00635652">
        <w:rPr>
          <w:b/>
          <w:bCs/>
          <w:caps/>
          <w:sz w:val="22"/>
          <w:szCs w:val="22"/>
        </w:rPr>
        <w:t>PRESENTATION</w:t>
      </w:r>
    </w:p>
    <w:p w14:paraId="0AA639E6" w14:textId="77777777" w:rsidR="00B700CA" w:rsidRPr="00635652" w:rsidRDefault="00B700CA" w:rsidP="00635652">
      <w:pPr>
        <w:widowControl w:val="0"/>
        <w:spacing w:line="480" w:lineRule="auto"/>
        <w:rPr>
          <w:rFonts w:cs="Arial"/>
          <w:sz w:val="22"/>
          <w:szCs w:val="22"/>
        </w:rPr>
      </w:pPr>
      <w:r w:rsidRPr="00E764A7">
        <w:rPr>
          <w:rFonts w:cs="Arial"/>
          <w:sz w:val="22"/>
          <w:szCs w:val="22"/>
        </w:rPr>
        <w:t>MITOMYCIN-C 2 mg:</w:t>
      </w:r>
      <w:r w:rsidRPr="00173F6D">
        <w:rPr>
          <w:rFonts w:cs="Arial"/>
          <w:sz w:val="22"/>
          <w:szCs w:val="22"/>
        </w:rPr>
        <w:t xml:space="preserve"> </w:t>
      </w:r>
      <w:r w:rsidRPr="00635652">
        <w:rPr>
          <w:rFonts w:cs="Arial"/>
          <w:sz w:val="22"/>
          <w:szCs w:val="22"/>
        </w:rPr>
        <w:t>colourless Type</w:t>
      </w:r>
      <w:r>
        <w:rPr>
          <w:rFonts w:cs="Arial"/>
          <w:sz w:val="22"/>
          <w:szCs w:val="22"/>
        </w:rPr>
        <w:t> </w:t>
      </w:r>
      <w:r w:rsidRPr="00635652">
        <w:rPr>
          <w:rFonts w:cs="Arial"/>
          <w:sz w:val="22"/>
          <w:szCs w:val="22"/>
        </w:rPr>
        <w:t>III glass vial with an aluminium seal, butyl rubber stopper and a polypropylene cap containing a blue-purple powder. 1</w:t>
      </w:r>
      <w:r>
        <w:rPr>
          <w:rFonts w:cs="Arial"/>
          <w:sz w:val="22"/>
          <w:szCs w:val="22"/>
        </w:rPr>
        <w:t> </w:t>
      </w:r>
      <w:r w:rsidRPr="00635652">
        <w:rPr>
          <w:rFonts w:cs="Arial"/>
          <w:sz w:val="22"/>
          <w:szCs w:val="22"/>
        </w:rPr>
        <w:t>vial is packed in an outer cardboard carton together with a leaflet.</w:t>
      </w:r>
    </w:p>
    <w:p w14:paraId="2607DE89" w14:textId="77777777" w:rsidR="00B700CA" w:rsidRPr="00635652" w:rsidRDefault="00B700CA" w:rsidP="00635652">
      <w:pPr>
        <w:widowControl w:val="0"/>
        <w:spacing w:line="480" w:lineRule="auto"/>
        <w:rPr>
          <w:rFonts w:cs="Arial"/>
          <w:sz w:val="22"/>
          <w:szCs w:val="22"/>
        </w:rPr>
      </w:pPr>
    </w:p>
    <w:p w14:paraId="16F0E72B" w14:textId="77777777" w:rsidR="00B700CA" w:rsidRPr="00635652" w:rsidRDefault="00B700CA" w:rsidP="00A15286">
      <w:pPr>
        <w:spacing w:line="480" w:lineRule="auto"/>
        <w:rPr>
          <w:rFonts w:cs="Arial"/>
          <w:sz w:val="22"/>
          <w:szCs w:val="22"/>
        </w:rPr>
      </w:pPr>
      <w:r w:rsidRPr="00E764A7">
        <w:rPr>
          <w:rFonts w:cs="Arial"/>
          <w:sz w:val="22"/>
          <w:szCs w:val="22"/>
        </w:rPr>
        <w:t>MITOMYCIN-C 10 mg:</w:t>
      </w:r>
      <w:r w:rsidRPr="00173F6D">
        <w:rPr>
          <w:rFonts w:cs="Arial"/>
          <w:sz w:val="22"/>
          <w:szCs w:val="22"/>
        </w:rPr>
        <w:t xml:space="preserve"> </w:t>
      </w:r>
      <w:r w:rsidRPr="00754BD3">
        <w:rPr>
          <w:rFonts w:cs="Arial"/>
          <w:sz w:val="22"/>
          <w:szCs w:val="22"/>
        </w:rPr>
        <w:t>Type I colourless 30 ml glass vial and closed with a butyl rubber push in stopper and crimped with an aluminium cap with a polypropylene lid</w:t>
      </w:r>
      <w:r w:rsidRPr="00635652">
        <w:rPr>
          <w:rFonts w:cs="Arial"/>
          <w:sz w:val="22"/>
          <w:szCs w:val="22"/>
        </w:rPr>
        <w:t xml:space="preserve"> containing a blue-purple powder. 1</w:t>
      </w:r>
      <w:r>
        <w:rPr>
          <w:rFonts w:cs="Arial"/>
          <w:sz w:val="22"/>
          <w:szCs w:val="22"/>
        </w:rPr>
        <w:t> </w:t>
      </w:r>
      <w:r w:rsidRPr="00635652">
        <w:rPr>
          <w:rFonts w:cs="Arial"/>
          <w:sz w:val="22"/>
          <w:szCs w:val="22"/>
        </w:rPr>
        <w:t>vial is packed in an outer cardboard carton together with a leaflet.</w:t>
      </w:r>
    </w:p>
    <w:p w14:paraId="32E11558" w14:textId="77777777" w:rsidR="00B700CA" w:rsidRPr="00635652" w:rsidRDefault="00B700CA" w:rsidP="00635652">
      <w:pPr>
        <w:widowControl w:val="0"/>
        <w:spacing w:line="480" w:lineRule="auto"/>
        <w:rPr>
          <w:rFonts w:cs="Arial"/>
          <w:sz w:val="22"/>
          <w:szCs w:val="22"/>
        </w:rPr>
      </w:pPr>
    </w:p>
    <w:p w14:paraId="7FFC97B3" w14:textId="77777777" w:rsidR="00B700CA" w:rsidRPr="00635652" w:rsidRDefault="00B700CA" w:rsidP="00635652">
      <w:pPr>
        <w:widowControl w:val="0"/>
        <w:spacing w:line="480" w:lineRule="auto"/>
        <w:rPr>
          <w:rFonts w:cs="Arial"/>
          <w:sz w:val="22"/>
          <w:szCs w:val="22"/>
        </w:rPr>
      </w:pPr>
      <w:r w:rsidRPr="00635652">
        <w:rPr>
          <w:rFonts w:cs="Arial"/>
          <w:sz w:val="22"/>
          <w:szCs w:val="22"/>
        </w:rPr>
        <w:t>Not all packs are necessarily marketed.</w:t>
      </w:r>
    </w:p>
    <w:p w14:paraId="185499DA" w14:textId="77777777" w:rsidR="00B700CA" w:rsidRPr="00635652" w:rsidRDefault="00B700CA" w:rsidP="00635652">
      <w:pPr>
        <w:widowControl w:val="0"/>
        <w:spacing w:line="480" w:lineRule="auto"/>
        <w:rPr>
          <w:rFonts w:cs="Arial"/>
          <w:sz w:val="22"/>
          <w:szCs w:val="22"/>
        </w:rPr>
      </w:pPr>
    </w:p>
    <w:p w14:paraId="009F025C" w14:textId="77777777" w:rsidR="00B700CA" w:rsidRPr="00635652" w:rsidRDefault="00B700CA" w:rsidP="00635652">
      <w:pPr>
        <w:pStyle w:val="norm1"/>
        <w:widowControl w:val="0"/>
        <w:tabs>
          <w:tab w:val="clear" w:pos="454"/>
        </w:tabs>
        <w:spacing w:line="480" w:lineRule="auto"/>
        <w:ind w:left="0" w:firstLine="0"/>
        <w:jc w:val="left"/>
        <w:rPr>
          <w:b/>
          <w:bCs/>
          <w:caps/>
          <w:sz w:val="22"/>
          <w:szCs w:val="22"/>
        </w:rPr>
      </w:pPr>
      <w:r w:rsidRPr="00635652">
        <w:rPr>
          <w:b/>
          <w:bCs/>
          <w:caps/>
          <w:sz w:val="22"/>
          <w:szCs w:val="22"/>
        </w:rPr>
        <w:t>storage instructions</w:t>
      </w:r>
    </w:p>
    <w:p w14:paraId="6F2A45CE" w14:textId="77777777" w:rsidR="00B700CA" w:rsidRPr="00635652" w:rsidRDefault="00B700CA" w:rsidP="00635652">
      <w:pPr>
        <w:pStyle w:val="DefaultText"/>
        <w:widowControl w:val="0"/>
        <w:spacing w:line="480" w:lineRule="auto"/>
        <w:rPr>
          <w:rFonts w:cs="Arial"/>
          <w:sz w:val="22"/>
          <w:szCs w:val="22"/>
        </w:rPr>
      </w:pPr>
      <w:r w:rsidRPr="00635652">
        <w:rPr>
          <w:rFonts w:cs="Arial"/>
          <w:sz w:val="22"/>
          <w:szCs w:val="22"/>
        </w:rPr>
        <w:t>Store at or below 25 °C.</w:t>
      </w:r>
    </w:p>
    <w:p w14:paraId="43C4ED7E" w14:textId="77777777" w:rsidR="00B700CA" w:rsidRPr="00635652" w:rsidRDefault="00B700CA" w:rsidP="00635652">
      <w:pPr>
        <w:pStyle w:val="DefaultText"/>
        <w:widowControl w:val="0"/>
        <w:spacing w:line="480" w:lineRule="auto"/>
        <w:rPr>
          <w:rFonts w:cs="Arial"/>
          <w:sz w:val="22"/>
          <w:szCs w:val="22"/>
        </w:rPr>
      </w:pPr>
      <w:r>
        <w:rPr>
          <w:rFonts w:cs="Arial"/>
          <w:sz w:val="22"/>
          <w:szCs w:val="22"/>
        </w:rPr>
        <w:t>Protect from light.</w:t>
      </w:r>
    </w:p>
    <w:p w14:paraId="74D7D150" w14:textId="77777777" w:rsidR="00B700CA" w:rsidRPr="00635652" w:rsidRDefault="00B700CA" w:rsidP="00635652">
      <w:pPr>
        <w:pStyle w:val="DefaultText"/>
        <w:widowControl w:val="0"/>
        <w:spacing w:line="480" w:lineRule="auto"/>
        <w:rPr>
          <w:rFonts w:cs="Arial"/>
          <w:sz w:val="22"/>
          <w:szCs w:val="22"/>
        </w:rPr>
      </w:pPr>
      <w:r w:rsidRPr="00635652">
        <w:rPr>
          <w:rFonts w:cs="Arial"/>
          <w:sz w:val="22"/>
          <w:szCs w:val="22"/>
        </w:rPr>
        <w:t>The product reconstituted with water, saline or 5</w:t>
      </w:r>
      <w:r>
        <w:rPr>
          <w:rFonts w:cs="Arial"/>
          <w:sz w:val="22"/>
          <w:szCs w:val="22"/>
        </w:rPr>
        <w:t> </w:t>
      </w:r>
      <w:r w:rsidRPr="00635652">
        <w:rPr>
          <w:rFonts w:cs="Arial"/>
          <w:sz w:val="22"/>
          <w:szCs w:val="22"/>
        </w:rPr>
        <w:t>% glucose solution is stable at room temperature for 6</w:t>
      </w:r>
      <w:r>
        <w:rPr>
          <w:rFonts w:cs="Arial"/>
          <w:sz w:val="22"/>
          <w:szCs w:val="22"/>
        </w:rPr>
        <w:t> </w:t>
      </w:r>
      <w:r w:rsidRPr="00635652">
        <w:rPr>
          <w:rFonts w:cs="Arial"/>
          <w:sz w:val="22"/>
          <w:szCs w:val="22"/>
        </w:rPr>
        <w:t>hours.</w:t>
      </w:r>
    </w:p>
    <w:p w14:paraId="1685E266" w14:textId="77777777" w:rsidR="00B700CA" w:rsidRPr="00635652" w:rsidRDefault="00B700CA" w:rsidP="00635652">
      <w:pPr>
        <w:pStyle w:val="DefaultText"/>
        <w:widowControl w:val="0"/>
        <w:spacing w:line="480" w:lineRule="auto"/>
        <w:rPr>
          <w:rFonts w:cs="Arial"/>
          <w:sz w:val="22"/>
          <w:szCs w:val="22"/>
        </w:rPr>
      </w:pPr>
      <w:r w:rsidRPr="00635652">
        <w:rPr>
          <w:rFonts w:cs="Arial"/>
          <w:sz w:val="22"/>
          <w:szCs w:val="22"/>
        </w:rPr>
        <w:t>Keep in original packaging until required for use.</w:t>
      </w:r>
    </w:p>
    <w:p w14:paraId="294B321B" w14:textId="77777777" w:rsidR="00B700CA" w:rsidRPr="009C5DEE" w:rsidRDefault="00B700CA" w:rsidP="00635652">
      <w:pPr>
        <w:pStyle w:val="DefaultText"/>
        <w:widowControl w:val="0"/>
        <w:spacing w:line="480" w:lineRule="auto"/>
        <w:rPr>
          <w:rFonts w:cs="Arial"/>
          <w:b/>
          <w:sz w:val="22"/>
          <w:szCs w:val="22"/>
        </w:rPr>
      </w:pPr>
      <w:r>
        <w:rPr>
          <w:rFonts w:cs="Arial"/>
          <w:b/>
          <w:sz w:val="22"/>
          <w:szCs w:val="22"/>
        </w:rPr>
        <w:t>KEEP OUT OF REACH OF CHILDREN.</w:t>
      </w:r>
    </w:p>
    <w:p w14:paraId="44CE017C" w14:textId="77777777" w:rsidR="00B700CA" w:rsidRPr="00635652" w:rsidRDefault="00B700CA" w:rsidP="00635652">
      <w:pPr>
        <w:pStyle w:val="norm1"/>
        <w:widowControl w:val="0"/>
        <w:tabs>
          <w:tab w:val="clear" w:pos="454"/>
        </w:tabs>
        <w:spacing w:line="480" w:lineRule="auto"/>
        <w:ind w:left="0" w:firstLine="0"/>
        <w:jc w:val="left"/>
        <w:rPr>
          <w:b/>
          <w:bCs/>
          <w:caps/>
          <w:sz w:val="22"/>
          <w:szCs w:val="22"/>
        </w:rPr>
      </w:pPr>
      <w:r>
        <w:rPr>
          <w:b/>
          <w:bCs/>
          <w:caps/>
          <w:sz w:val="22"/>
          <w:szCs w:val="22"/>
        </w:rPr>
        <w:t>registration number</w:t>
      </w:r>
    </w:p>
    <w:p w14:paraId="2E1BDD6C" w14:textId="77777777" w:rsidR="00B700CA" w:rsidRPr="00635652" w:rsidRDefault="00B700CA" w:rsidP="00635652">
      <w:pPr>
        <w:widowControl w:val="0"/>
        <w:spacing w:line="480" w:lineRule="auto"/>
        <w:ind w:left="3261" w:hanging="3261"/>
        <w:rPr>
          <w:rFonts w:cs="Arial"/>
          <w:sz w:val="22"/>
          <w:szCs w:val="22"/>
        </w:rPr>
      </w:pPr>
      <w:r w:rsidRPr="00B86649">
        <w:rPr>
          <w:rFonts w:cs="Arial"/>
          <w:sz w:val="22"/>
          <w:szCs w:val="22"/>
        </w:rPr>
        <w:t>MITOMYCIN-C 2 mg</w:t>
      </w:r>
      <w:r w:rsidRPr="00635652">
        <w:rPr>
          <w:rFonts w:cs="Arial"/>
          <w:sz w:val="22"/>
          <w:szCs w:val="22"/>
        </w:rPr>
        <w:t>:</w:t>
      </w:r>
      <w:r w:rsidRPr="00635652">
        <w:rPr>
          <w:rFonts w:cs="Arial"/>
          <w:sz w:val="22"/>
          <w:szCs w:val="22"/>
        </w:rPr>
        <w:tab/>
        <w:t>H2764 (Act 101/1965)</w:t>
      </w:r>
    </w:p>
    <w:p w14:paraId="7E0A36DF" w14:textId="77777777" w:rsidR="00B700CA" w:rsidRPr="00635652" w:rsidRDefault="00B700CA" w:rsidP="001E178E">
      <w:pPr>
        <w:widowControl w:val="0"/>
        <w:spacing w:line="480" w:lineRule="auto"/>
        <w:ind w:left="3261" w:hanging="3261"/>
        <w:rPr>
          <w:rFonts w:cs="Arial"/>
          <w:sz w:val="22"/>
          <w:szCs w:val="22"/>
        </w:rPr>
      </w:pPr>
      <w:r w:rsidRPr="00B86649">
        <w:rPr>
          <w:rFonts w:cs="Arial"/>
          <w:sz w:val="22"/>
          <w:szCs w:val="22"/>
        </w:rPr>
        <w:t>MITOMYCIN-C 10 mg</w:t>
      </w:r>
      <w:r w:rsidRPr="00635652">
        <w:rPr>
          <w:rFonts w:cs="Arial"/>
          <w:sz w:val="22"/>
          <w:szCs w:val="22"/>
        </w:rPr>
        <w:t>:</w:t>
      </w:r>
      <w:r w:rsidRPr="00635652">
        <w:rPr>
          <w:rFonts w:cs="Arial"/>
          <w:sz w:val="22"/>
          <w:szCs w:val="22"/>
        </w:rPr>
        <w:tab/>
        <w:t>R/26/48</w:t>
      </w:r>
    </w:p>
    <w:p w14:paraId="68E80384" w14:textId="77777777" w:rsidR="00B700CA" w:rsidRDefault="00B700CA" w:rsidP="00635652">
      <w:pPr>
        <w:pStyle w:val="norm1"/>
        <w:widowControl w:val="0"/>
        <w:tabs>
          <w:tab w:val="clear" w:pos="454"/>
        </w:tabs>
        <w:spacing w:line="480" w:lineRule="auto"/>
        <w:ind w:left="0" w:firstLine="0"/>
        <w:jc w:val="left"/>
        <w:rPr>
          <w:b/>
          <w:bCs/>
          <w:caps/>
          <w:sz w:val="22"/>
          <w:szCs w:val="22"/>
        </w:rPr>
      </w:pPr>
    </w:p>
    <w:p w14:paraId="27DBDE8F" w14:textId="77777777" w:rsidR="00B700CA" w:rsidRPr="00635652" w:rsidRDefault="00B700CA" w:rsidP="00635652">
      <w:pPr>
        <w:pStyle w:val="norm1"/>
        <w:widowControl w:val="0"/>
        <w:tabs>
          <w:tab w:val="clear" w:pos="454"/>
        </w:tabs>
        <w:spacing w:line="480" w:lineRule="auto"/>
        <w:ind w:left="0" w:firstLine="0"/>
        <w:jc w:val="left"/>
        <w:rPr>
          <w:b/>
          <w:bCs/>
          <w:caps/>
          <w:sz w:val="22"/>
          <w:szCs w:val="22"/>
        </w:rPr>
      </w:pPr>
      <w:r w:rsidRPr="00635652">
        <w:rPr>
          <w:b/>
          <w:bCs/>
          <w:caps/>
          <w:sz w:val="22"/>
          <w:szCs w:val="22"/>
        </w:rPr>
        <w:t xml:space="preserve">name and business address of the holder of </w:t>
      </w:r>
      <w:r>
        <w:rPr>
          <w:b/>
          <w:bCs/>
          <w:caps/>
          <w:sz w:val="22"/>
          <w:szCs w:val="22"/>
        </w:rPr>
        <w:t>the certificate of registration</w:t>
      </w:r>
    </w:p>
    <w:p w14:paraId="38F5D43D" w14:textId="77777777" w:rsidR="00B700CA" w:rsidRPr="00754BD3" w:rsidRDefault="00B700CA" w:rsidP="00635652">
      <w:pPr>
        <w:pStyle w:val="norm1"/>
        <w:widowControl w:val="0"/>
        <w:tabs>
          <w:tab w:val="clear" w:pos="454"/>
        </w:tabs>
        <w:spacing w:line="480" w:lineRule="auto"/>
        <w:ind w:left="0" w:firstLine="0"/>
        <w:jc w:val="left"/>
        <w:rPr>
          <w:bCs/>
          <w:sz w:val="22"/>
          <w:szCs w:val="22"/>
        </w:rPr>
      </w:pPr>
      <w:r w:rsidRPr="00754BD3">
        <w:rPr>
          <w:bCs/>
          <w:sz w:val="22"/>
          <w:szCs w:val="22"/>
        </w:rPr>
        <w:t>PHARMACARE LIMITED</w:t>
      </w:r>
    </w:p>
    <w:p w14:paraId="49DBFC28" w14:textId="77777777" w:rsidR="00B700CA" w:rsidRPr="00754BD3" w:rsidRDefault="00B700CA" w:rsidP="00635652">
      <w:pPr>
        <w:pStyle w:val="norm1"/>
        <w:widowControl w:val="0"/>
        <w:tabs>
          <w:tab w:val="clear" w:pos="454"/>
        </w:tabs>
        <w:spacing w:line="480" w:lineRule="auto"/>
        <w:ind w:left="0" w:firstLine="0"/>
        <w:jc w:val="left"/>
        <w:rPr>
          <w:bCs/>
          <w:sz w:val="22"/>
          <w:szCs w:val="22"/>
        </w:rPr>
      </w:pPr>
      <w:r w:rsidRPr="00754BD3">
        <w:rPr>
          <w:bCs/>
          <w:sz w:val="22"/>
          <w:szCs w:val="22"/>
        </w:rPr>
        <w:t>Healthcare Park</w:t>
      </w:r>
    </w:p>
    <w:p w14:paraId="176555C3" w14:textId="77777777" w:rsidR="00B700CA" w:rsidRPr="00754BD3" w:rsidRDefault="00B700CA" w:rsidP="00635652">
      <w:pPr>
        <w:pStyle w:val="norm1"/>
        <w:widowControl w:val="0"/>
        <w:tabs>
          <w:tab w:val="clear" w:pos="454"/>
        </w:tabs>
        <w:spacing w:line="480" w:lineRule="auto"/>
        <w:ind w:left="0" w:firstLine="0"/>
        <w:jc w:val="left"/>
        <w:rPr>
          <w:bCs/>
          <w:sz w:val="22"/>
          <w:szCs w:val="22"/>
        </w:rPr>
      </w:pPr>
      <w:r w:rsidRPr="00754BD3">
        <w:rPr>
          <w:bCs/>
          <w:sz w:val="22"/>
          <w:szCs w:val="22"/>
        </w:rPr>
        <w:t xml:space="preserve">Woodlands Drive </w:t>
      </w:r>
    </w:p>
    <w:p w14:paraId="4DC8D5C9" w14:textId="107789A2" w:rsidR="00B700CA" w:rsidRPr="00635652" w:rsidRDefault="00B700CA" w:rsidP="00635652">
      <w:pPr>
        <w:pStyle w:val="norm1"/>
        <w:widowControl w:val="0"/>
        <w:tabs>
          <w:tab w:val="clear" w:pos="454"/>
        </w:tabs>
        <w:spacing w:line="480" w:lineRule="auto"/>
        <w:ind w:left="0" w:firstLine="0"/>
        <w:jc w:val="left"/>
        <w:rPr>
          <w:bCs/>
          <w:sz w:val="22"/>
          <w:szCs w:val="22"/>
        </w:rPr>
      </w:pPr>
      <w:r w:rsidRPr="00754BD3">
        <w:rPr>
          <w:bCs/>
          <w:sz w:val="22"/>
          <w:szCs w:val="22"/>
        </w:rPr>
        <w:t>Woodmead</w:t>
      </w:r>
      <w:r w:rsidR="00E13BC4">
        <w:rPr>
          <w:bCs/>
          <w:sz w:val="22"/>
          <w:szCs w:val="22"/>
        </w:rPr>
        <w:t xml:space="preserve"> </w:t>
      </w:r>
      <w:r w:rsidRPr="00754BD3">
        <w:rPr>
          <w:bCs/>
          <w:sz w:val="22"/>
          <w:szCs w:val="22"/>
        </w:rPr>
        <w:t>2191</w:t>
      </w:r>
    </w:p>
    <w:p w14:paraId="2CBE51EB" w14:textId="77777777" w:rsidR="00B700CA" w:rsidRDefault="00B700CA" w:rsidP="00635652">
      <w:pPr>
        <w:pStyle w:val="norm1"/>
        <w:widowControl w:val="0"/>
        <w:tabs>
          <w:tab w:val="clear" w:pos="454"/>
        </w:tabs>
        <w:spacing w:line="480" w:lineRule="auto"/>
        <w:ind w:left="0" w:firstLine="0"/>
        <w:jc w:val="left"/>
        <w:rPr>
          <w:b/>
          <w:bCs/>
          <w:caps/>
          <w:sz w:val="22"/>
          <w:szCs w:val="22"/>
        </w:rPr>
      </w:pPr>
    </w:p>
    <w:p w14:paraId="1C596C4E" w14:textId="77777777" w:rsidR="00B700CA" w:rsidRPr="00635652" w:rsidRDefault="00B700CA" w:rsidP="00635652">
      <w:pPr>
        <w:pStyle w:val="norm1"/>
        <w:widowControl w:val="0"/>
        <w:tabs>
          <w:tab w:val="clear" w:pos="454"/>
        </w:tabs>
        <w:spacing w:line="480" w:lineRule="auto"/>
        <w:ind w:left="0" w:firstLine="0"/>
        <w:jc w:val="left"/>
        <w:rPr>
          <w:b/>
          <w:bCs/>
          <w:caps/>
          <w:sz w:val="22"/>
          <w:szCs w:val="22"/>
        </w:rPr>
      </w:pPr>
      <w:r w:rsidRPr="00635652">
        <w:rPr>
          <w:b/>
          <w:bCs/>
          <w:caps/>
          <w:sz w:val="22"/>
          <w:szCs w:val="22"/>
        </w:rPr>
        <w:t xml:space="preserve">date of publication of the PROFESSIONAL INFORMATION </w:t>
      </w:r>
      <w:r w:rsidRPr="00635652">
        <w:rPr>
          <w:b/>
          <w:sz w:val="22"/>
          <w:szCs w:val="22"/>
        </w:rPr>
        <w:t>FOR MEDICINES FOR HUMAN USE</w:t>
      </w:r>
    </w:p>
    <w:p w14:paraId="2D9CAE33" w14:textId="77777777" w:rsidR="00B700CA" w:rsidRDefault="00B700CA" w:rsidP="00635652">
      <w:pPr>
        <w:widowControl w:val="0"/>
        <w:spacing w:line="480" w:lineRule="auto"/>
        <w:rPr>
          <w:rFonts w:cs="Arial"/>
          <w:sz w:val="22"/>
          <w:szCs w:val="22"/>
        </w:rPr>
      </w:pPr>
      <w:r w:rsidRPr="00635652">
        <w:rPr>
          <w:rFonts w:cs="Arial"/>
          <w:sz w:val="22"/>
          <w:szCs w:val="22"/>
        </w:rPr>
        <w:t>Dat</w:t>
      </w:r>
      <w:r>
        <w:rPr>
          <w:rFonts w:cs="Arial"/>
          <w:sz w:val="22"/>
          <w:szCs w:val="22"/>
        </w:rPr>
        <w:t>e of registration:</w:t>
      </w:r>
    </w:p>
    <w:p w14:paraId="6ED3A767" w14:textId="77777777" w:rsidR="00B700CA" w:rsidRDefault="00B700CA" w:rsidP="00720333">
      <w:pPr>
        <w:widowControl w:val="0"/>
        <w:spacing w:line="480" w:lineRule="auto"/>
        <w:ind w:left="2410" w:hanging="2410"/>
        <w:rPr>
          <w:rFonts w:cs="Arial"/>
          <w:sz w:val="22"/>
          <w:szCs w:val="22"/>
        </w:rPr>
      </w:pPr>
      <w:r>
        <w:rPr>
          <w:rFonts w:cs="Arial"/>
          <w:sz w:val="22"/>
          <w:szCs w:val="22"/>
        </w:rPr>
        <w:t>MITOMYCIN-C 2 mg:</w:t>
      </w:r>
      <w:r>
        <w:rPr>
          <w:rFonts w:cs="Arial"/>
          <w:sz w:val="22"/>
          <w:szCs w:val="22"/>
        </w:rPr>
        <w:tab/>
        <w:t>Old medicine</w:t>
      </w:r>
    </w:p>
    <w:p w14:paraId="48CA0232" w14:textId="77777777" w:rsidR="00B700CA" w:rsidRPr="00635652" w:rsidRDefault="00B700CA" w:rsidP="00720333">
      <w:pPr>
        <w:widowControl w:val="0"/>
        <w:spacing w:line="480" w:lineRule="auto"/>
        <w:ind w:left="2410" w:hanging="2410"/>
        <w:rPr>
          <w:rFonts w:cs="Arial"/>
          <w:sz w:val="22"/>
          <w:szCs w:val="22"/>
        </w:rPr>
      </w:pPr>
      <w:r>
        <w:rPr>
          <w:rFonts w:cs="Arial"/>
          <w:sz w:val="22"/>
          <w:szCs w:val="22"/>
        </w:rPr>
        <w:t>MITOMYCIN-C 10 mg:</w:t>
      </w:r>
      <w:r>
        <w:rPr>
          <w:rFonts w:cs="Arial"/>
          <w:sz w:val="22"/>
          <w:szCs w:val="22"/>
        </w:rPr>
        <w:tab/>
        <w:t>0</w:t>
      </w:r>
      <w:r w:rsidRPr="00635652">
        <w:rPr>
          <w:rFonts w:cs="Arial"/>
          <w:sz w:val="22"/>
          <w:szCs w:val="22"/>
        </w:rPr>
        <w:t>4</w:t>
      </w:r>
      <w:r>
        <w:rPr>
          <w:rFonts w:cs="Arial"/>
          <w:sz w:val="22"/>
          <w:szCs w:val="22"/>
        </w:rPr>
        <w:t> </w:t>
      </w:r>
      <w:r w:rsidRPr="00635652">
        <w:rPr>
          <w:rFonts w:cs="Arial"/>
          <w:sz w:val="22"/>
          <w:szCs w:val="22"/>
        </w:rPr>
        <w:t>April</w:t>
      </w:r>
      <w:r>
        <w:rPr>
          <w:rFonts w:cs="Arial"/>
          <w:sz w:val="22"/>
          <w:szCs w:val="22"/>
        </w:rPr>
        <w:t> </w:t>
      </w:r>
      <w:r w:rsidRPr="00635652">
        <w:rPr>
          <w:rFonts w:cs="Arial"/>
          <w:sz w:val="22"/>
          <w:szCs w:val="22"/>
        </w:rPr>
        <w:t>1986</w:t>
      </w:r>
    </w:p>
    <w:p w14:paraId="08C301AC" w14:textId="77777777" w:rsidR="00B700CA" w:rsidRDefault="00B700CA" w:rsidP="00635652">
      <w:pPr>
        <w:widowControl w:val="0"/>
        <w:spacing w:line="480" w:lineRule="auto"/>
        <w:rPr>
          <w:rFonts w:cs="Arial"/>
          <w:sz w:val="22"/>
          <w:szCs w:val="22"/>
        </w:rPr>
      </w:pPr>
      <w:r w:rsidRPr="00635652">
        <w:rPr>
          <w:rFonts w:cs="Arial"/>
          <w:sz w:val="22"/>
          <w:szCs w:val="22"/>
        </w:rPr>
        <w:t>Date of the most recent amendment to the professional information as approved by the Authority: 25</w:t>
      </w:r>
      <w:r>
        <w:rPr>
          <w:rFonts w:cs="Arial"/>
          <w:sz w:val="22"/>
          <w:szCs w:val="22"/>
        </w:rPr>
        <w:t> </w:t>
      </w:r>
      <w:r w:rsidRPr="00635652">
        <w:rPr>
          <w:rFonts w:cs="Arial"/>
          <w:sz w:val="22"/>
          <w:szCs w:val="22"/>
        </w:rPr>
        <w:t>November</w:t>
      </w:r>
      <w:r>
        <w:rPr>
          <w:rFonts w:cs="Arial"/>
          <w:sz w:val="22"/>
          <w:szCs w:val="22"/>
        </w:rPr>
        <w:t> </w:t>
      </w:r>
      <w:r w:rsidRPr="00635652">
        <w:rPr>
          <w:rFonts w:cs="Arial"/>
          <w:sz w:val="22"/>
          <w:szCs w:val="22"/>
        </w:rPr>
        <w:t>2011</w:t>
      </w:r>
    </w:p>
    <w:p w14:paraId="3C23DE3B" w14:textId="77777777" w:rsidR="00B700CA" w:rsidRDefault="00B700CA" w:rsidP="00635652">
      <w:pPr>
        <w:widowControl w:val="0"/>
        <w:spacing w:line="480" w:lineRule="auto"/>
        <w:rPr>
          <w:rFonts w:cs="Arial"/>
          <w:sz w:val="22"/>
          <w:szCs w:val="22"/>
        </w:rPr>
      </w:pPr>
    </w:p>
    <w:p w14:paraId="4711407F" w14:textId="77777777" w:rsidR="00B700CA" w:rsidRDefault="00B700CA" w:rsidP="00635652">
      <w:pPr>
        <w:widowControl w:val="0"/>
        <w:spacing w:line="480" w:lineRule="auto"/>
        <w:rPr>
          <w:rFonts w:cs="Arial"/>
          <w:sz w:val="22"/>
          <w:szCs w:val="22"/>
        </w:rPr>
      </w:pPr>
    </w:p>
    <w:p w14:paraId="7BE4116A" w14:textId="77777777" w:rsidR="00B700CA" w:rsidRDefault="00B700CA" w:rsidP="00447590">
      <w:pPr>
        <w:widowControl w:val="0"/>
        <w:spacing w:line="480" w:lineRule="auto"/>
        <w:jc w:val="right"/>
        <w:rPr>
          <w:rFonts w:cs="Arial"/>
          <w:sz w:val="22"/>
          <w:szCs w:val="22"/>
        </w:rPr>
      </w:pPr>
    </w:p>
    <w:p w14:paraId="777D0212" w14:textId="77777777" w:rsidR="00B700CA" w:rsidRDefault="00B700CA" w:rsidP="00447590">
      <w:pPr>
        <w:widowControl w:val="0"/>
        <w:spacing w:line="480" w:lineRule="auto"/>
        <w:jc w:val="right"/>
        <w:rPr>
          <w:rFonts w:cs="Arial"/>
          <w:sz w:val="22"/>
          <w:szCs w:val="22"/>
        </w:rPr>
      </w:pPr>
    </w:p>
    <w:p w14:paraId="11C56268" w14:textId="77777777" w:rsidR="00B700CA" w:rsidRPr="00635652" w:rsidRDefault="00B700CA" w:rsidP="00447590">
      <w:pPr>
        <w:widowControl w:val="0"/>
        <w:spacing w:line="480" w:lineRule="auto"/>
        <w:jc w:val="right"/>
        <w:rPr>
          <w:rFonts w:cs="Arial"/>
          <w:sz w:val="22"/>
          <w:szCs w:val="22"/>
        </w:rPr>
      </w:pPr>
      <w:r w:rsidRPr="00447590">
        <w:rPr>
          <w:rFonts w:cs="Arial"/>
          <w:sz w:val="22"/>
          <w:szCs w:val="22"/>
        </w:rPr>
        <w:t>ZA_MITOINJ_1111_02</w:t>
      </w:r>
    </w:p>
    <w:p w14:paraId="5C5CD89E" w14:textId="77777777" w:rsidR="00B700CA" w:rsidRPr="00635652" w:rsidRDefault="00B700CA" w:rsidP="00635652">
      <w:pPr>
        <w:widowControl w:val="0"/>
        <w:spacing w:line="480" w:lineRule="auto"/>
        <w:rPr>
          <w:rFonts w:cs="Arial"/>
          <w:bCs/>
          <w:sz w:val="22"/>
          <w:szCs w:val="22"/>
        </w:rPr>
      </w:pPr>
    </w:p>
    <w:p w14:paraId="2C9BF7C2" w14:textId="77777777" w:rsidR="000C67EC" w:rsidRDefault="000C67EC" w:rsidP="00A15286">
      <w:pPr>
        <w:widowControl w:val="0"/>
        <w:spacing w:line="480" w:lineRule="auto"/>
        <w:rPr>
          <w:rFonts w:cs="Arial"/>
          <w:sz w:val="22"/>
          <w:szCs w:val="22"/>
        </w:rPr>
      </w:pPr>
    </w:p>
    <w:sectPr w:rsidR="000C67EC" w:rsidSect="00B86649">
      <w:headerReference w:type="default" r:id="rId11"/>
      <w:footerReference w:type="default" r:id="rId12"/>
      <w:endnotePr>
        <w:numFmt w:val="decimal"/>
      </w:endnotePr>
      <w:pgSz w:w="11905" w:h="16837"/>
      <w:pgMar w:top="1440" w:right="1440" w:bottom="1440" w:left="1440" w:header="68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6884" w14:textId="77777777" w:rsidR="00576E9C" w:rsidRDefault="00576E9C">
      <w:r>
        <w:separator/>
      </w:r>
    </w:p>
  </w:endnote>
  <w:endnote w:type="continuationSeparator" w:id="0">
    <w:p w14:paraId="2C9A7E86" w14:textId="77777777" w:rsidR="00576E9C" w:rsidRDefault="00576E9C">
      <w:r>
        <w:continuationSeparator/>
      </w:r>
    </w:p>
  </w:endnote>
  <w:endnote w:type="continuationNotice" w:id="1">
    <w:p w14:paraId="6D655F04" w14:textId="77777777" w:rsidR="00576E9C" w:rsidRDefault="00576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81E8" w14:textId="1624955E" w:rsidR="00C175BA" w:rsidRPr="00B700CA" w:rsidRDefault="00B700CA" w:rsidP="00E13BC4">
    <w:pPr>
      <w:widowControl w:val="0"/>
      <w:spacing w:line="480" w:lineRule="auto"/>
      <w:rPr>
        <w:rFonts w:cs="Arial"/>
        <w:i/>
        <w:iCs/>
        <w:sz w:val="18"/>
        <w:szCs w:val="18"/>
      </w:rPr>
    </w:pPr>
    <w:r w:rsidRPr="00B700CA">
      <w:rPr>
        <w:rFonts w:cs="Arial"/>
        <w:i/>
        <w:iCs/>
        <w:sz w:val="18"/>
        <w:szCs w:val="18"/>
      </w:rPr>
      <w:t>ZA_MITOINJ_1111_02</w:t>
    </w:r>
    <w:r w:rsidR="00E13BC4">
      <w:rPr>
        <w:rFonts w:cs="Arial"/>
        <w:i/>
        <w:iCs/>
        <w:sz w:val="18"/>
        <w:szCs w:val="18"/>
      </w:rPr>
      <w:tab/>
    </w:r>
    <w:r w:rsidR="00E13BC4">
      <w:rPr>
        <w:rFonts w:cs="Arial"/>
        <w:i/>
        <w:iCs/>
        <w:sz w:val="18"/>
        <w:szCs w:val="18"/>
      </w:rPr>
      <w:tab/>
    </w:r>
    <w:r w:rsidR="00E13BC4">
      <w:rPr>
        <w:rFonts w:cs="Arial"/>
        <w:i/>
        <w:iCs/>
        <w:sz w:val="18"/>
        <w:szCs w:val="18"/>
      </w:rPr>
      <w:tab/>
    </w:r>
    <w:r w:rsidR="00E13BC4">
      <w:rPr>
        <w:rFonts w:cs="Arial"/>
        <w:i/>
        <w:iCs/>
        <w:sz w:val="18"/>
        <w:szCs w:val="18"/>
      </w:rPr>
      <w:tab/>
    </w:r>
    <w:r w:rsidR="00E13BC4">
      <w:rPr>
        <w:rFonts w:cs="Arial"/>
        <w:i/>
        <w:iCs/>
        <w:sz w:val="18"/>
        <w:szCs w:val="18"/>
      </w:rPr>
      <w:tab/>
    </w:r>
    <w:r w:rsidR="00E13BC4">
      <w:rPr>
        <w:rFonts w:cs="Arial"/>
        <w:i/>
        <w:iCs/>
        <w:sz w:val="18"/>
        <w:szCs w:val="18"/>
      </w:rPr>
      <w:tab/>
    </w:r>
    <w:r w:rsidR="00E13BC4">
      <w:rPr>
        <w:rFonts w:cs="Arial"/>
        <w:i/>
        <w:iCs/>
        <w:sz w:val="18"/>
        <w:szCs w:val="18"/>
      </w:rPr>
      <w:tab/>
    </w:r>
    <w:r w:rsidR="00E13BC4">
      <w:rPr>
        <w:rFonts w:cs="Arial"/>
        <w:i/>
        <w:iCs/>
        <w:sz w:val="18"/>
        <w:szCs w:val="18"/>
      </w:rPr>
      <w:tab/>
    </w:r>
    <w:r w:rsidR="00E13BC4">
      <w:rPr>
        <w:rFonts w:cs="Arial"/>
        <w:i/>
        <w:iCs/>
        <w:sz w:val="18"/>
        <w:szCs w:val="18"/>
      </w:rPr>
      <w:tab/>
    </w:r>
    <w:r w:rsidR="00C175BA" w:rsidRPr="00B700CA">
      <w:rPr>
        <w:rFonts w:cs="Arial"/>
        <w:i/>
        <w:iCs/>
        <w:sz w:val="18"/>
        <w:szCs w:val="18"/>
      </w:rPr>
      <w:t xml:space="preserve">Page </w:t>
    </w:r>
    <w:r w:rsidR="00C175BA" w:rsidRPr="00B700CA">
      <w:rPr>
        <w:rFonts w:cs="Arial"/>
        <w:i/>
        <w:iCs/>
        <w:sz w:val="18"/>
        <w:szCs w:val="18"/>
      </w:rPr>
      <w:fldChar w:fldCharType="begin"/>
    </w:r>
    <w:r w:rsidR="00C175BA" w:rsidRPr="00B700CA">
      <w:rPr>
        <w:rFonts w:cs="Arial"/>
        <w:i/>
        <w:iCs/>
        <w:sz w:val="18"/>
        <w:szCs w:val="18"/>
      </w:rPr>
      <w:instrText xml:space="preserve"> PAGE </w:instrText>
    </w:r>
    <w:r w:rsidR="00C175BA" w:rsidRPr="00B700CA">
      <w:rPr>
        <w:rFonts w:cs="Arial"/>
        <w:i/>
        <w:iCs/>
        <w:sz w:val="18"/>
        <w:szCs w:val="18"/>
      </w:rPr>
      <w:fldChar w:fldCharType="separate"/>
    </w:r>
    <w:r w:rsidR="00576E9C">
      <w:rPr>
        <w:rFonts w:cs="Arial"/>
        <w:i/>
        <w:iCs/>
        <w:noProof/>
        <w:sz w:val="18"/>
        <w:szCs w:val="18"/>
      </w:rPr>
      <w:t>1</w:t>
    </w:r>
    <w:r w:rsidR="00C175BA" w:rsidRPr="00B700CA">
      <w:rPr>
        <w:rFonts w:cs="Arial"/>
        <w:i/>
        <w:iCs/>
        <w:sz w:val="18"/>
        <w:szCs w:val="18"/>
      </w:rPr>
      <w:fldChar w:fldCharType="end"/>
    </w:r>
    <w:r w:rsidR="00C175BA" w:rsidRPr="00B700CA">
      <w:rPr>
        <w:rFonts w:cs="Arial"/>
        <w:i/>
        <w:iCs/>
        <w:sz w:val="18"/>
        <w:szCs w:val="18"/>
      </w:rPr>
      <w:t xml:space="preserve"> of </w:t>
    </w:r>
    <w:r w:rsidR="00C175BA" w:rsidRPr="00B700CA">
      <w:rPr>
        <w:rFonts w:cs="Arial"/>
        <w:i/>
        <w:iCs/>
        <w:sz w:val="18"/>
        <w:szCs w:val="18"/>
      </w:rPr>
      <w:fldChar w:fldCharType="begin"/>
    </w:r>
    <w:r w:rsidR="00C175BA" w:rsidRPr="00B700CA">
      <w:rPr>
        <w:rFonts w:cs="Arial"/>
        <w:i/>
        <w:iCs/>
        <w:sz w:val="18"/>
        <w:szCs w:val="18"/>
      </w:rPr>
      <w:instrText xml:space="preserve"> NUMPAGES  </w:instrText>
    </w:r>
    <w:r w:rsidR="00C175BA" w:rsidRPr="00B700CA">
      <w:rPr>
        <w:rFonts w:cs="Arial"/>
        <w:i/>
        <w:iCs/>
        <w:sz w:val="18"/>
        <w:szCs w:val="18"/>
      </w:rPr>
      <w:fldChar w:fldCharType="separate"/>
    </w:r>
    <w:r w:rsidR="00576E9C">
      <w:rPr>
        <w:rFonts w:cs="Arial"/>
        <w:i/>
        <w:iCs/>
        <w:noProof/>
        <w:sz w:val="18"/>
        <w:szCs w:val="18"/>
      </w:rPr>
      <w:t>1</w:t>
    </w:r>
    <w:r w:rsidR="00C175BA" w:rsidRPr="00B700CA">
      <w:rPr>
        <w:rFonts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B1153" w14:textId="77777777" w:rsidR="00576E9C" w:rsidRDefault="00576E9C">
      <w:r>
        <w:separator/>
      </w:r>
    </w:p>
  </w:footnote>
  <w:footnote w:type="continuationSeparator" w:id="0">
    <w:p w14:paraId="72FCBAA8" w14:textId="77777777" w:rsidR="00576E9C" w:rsidRDefault="00576E9C">
      <w:r>
        <w:continuationSeparator/>
      </w:r>
    </w:p>
  </w:footnote>
  <w:footnote w:type="continuationNotice" w:id="1">
    <w:p w14:paraId="44FDC294" w14:textId="77777777" w:rsidR="00576E9C" w:rsidRDefault="00576E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4937036"/>
  <w:p w14:paraId="23828A43" w14:textId="77777777" w:rsidR="00D37CF5" w:rsidRDefault="00B86649" w:rsidP="00B700CA">
    <w:pPr>
      <w:tabs>
        <w:tab w:val="center" w:pos="4320"/>
        <w:tab w:val="right" w:pos="8640"/>
      </w:tabs>
      <w:spacing w:after="40"/>
      <w:rPr>
        <w:sz w:val="24"/>
      </w:rPr>
    </w:pPr>
    <w:r w:rsidRPr="00E87643">
      <w:rPr>
        <w:sz w:val="24"/>
      </w:rPr>
      <w:object w:dxaOrig="2490" w:dyaOrig="840" w14:anchorId="42997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33pt">
          <v:imagedata r:id="rId1" o:title=""/>
        </v:shape>
        <o:OLEObject Type="Embed" ProgID="MSPhotoEd.3" ShapeID="_x0000_i1025" DrawAspect="Content" ObjectID="_1704824183" r:id="rId2"/>
      </w:object>
    </w:r>
  </w:p>
  <w:bookmarkEnd w:id="1"/>
  <w:p w14:paraId="5EF96287" w14:textId="7227D23B" w:rsidR="00C175BA" w:rsidRDefault="00C175BA" w:rsidP="00F44DFB">
    <w:pPr>
      <w:pStyle w:val="Header"/>
      <w:tabs>
        <w:tab w:val="clear" w:pos="4320"/>
        <w:tab w:val="clear" w:pos="8640"/>
        <w:tab w:val="left" w:pos="3490"/>
      </w:tabs>
    </w:pPr>
  </w:p>
  <w:p w14:paraId="7CB90B74" w14:textId="77777777" w:rsidR="00B700CA" w:rsidRDefault="00B700CA" w:rsidP="00F44DFB">
    <w:pPr>
      <w:pStyle w:val="Header"/>
      <w:tabs>
        <w:tab w:val="clear" w:pos="4320"/>
        <w:tab w:val="clear" w:pos="8640"/>
        <w:tab w:val="left" w:pos="34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7D0"/>
    <w:multiLevelType w:val="hybridMultilevel"/>
    <w:tmpl w:val="262E2F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076CB5"/>
    <w:multiLevelType w:val="hybridMultilevel"/>
    <w:tmpl w:val="30F8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55644"/>
    <w:multiLevelType w:val="hybridMultilevel"/>
    <w:tmpl w:val="722A52B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456D5D"/>
    <w:multiLevelType w:val="hybridMultilevel"/>
    <w:tmpl w:val="B2341C14"/>
    <w:lvl w:ilvl="0" w:tplc="04090015">
      <w:start w:val="1"/>
      <w:numFmt w:val="upperLetter"/>
      <w:lvlText w:val="%1."/>
      <w:lvlJc w:val="left"/>
      <w:pPr>
        <w:tabs>
          <w:tab w:val="num" w:pos="502"/>
        </w:tabs>
        <w:ind w:left="502" w:hanging="360"/>
      </w:pPr>
      <w:rPr>
        <w:rFonts w:hint="default"/>
      </w:rPr>
    </w:lvl>
    <w:lvl w:ilvl="1" w:tplc="C7EADCCC">
      <w:start w:val="1"/>
      <w:numFmt w:val="lowerLetter"/>
      <w:lvlText w:val="%2)"/>
      <w:lvlJc w:val="left"/>
      <w:pPr>
        <w:tabs>
          <w:tab w:val="num" w:pos="1942"/>
        </w:tabs>
        <w:ind w:left="1942" w:hanging="720"/>
      </w:pPr>
      <w:rPr>
        <w:rFonts w:hint="default"/>
      </w:rPr>
    </w:lvl>
    <w:lvl w:ilvl="2" w:tplc="24C033C0">
      <w:start w:val="8"/>
      <w:numFmt w:val="bullet"/>
      <w:lvlText w:val=""/>
      <w:lvlJc w:val="left"/>
      <w:pPr>
        <w:tabs>
          <w:tab w:val="num" w:pos="2482"/>
        </w:tabs>
        <w:ind w:left="2482" w:hanging="360"/>
      </w:pPr>
      <w:rPr>
        <w:rFonts w:ascii="Symbol" w:eastAsia="Times New Roman" w:hAnsi="Symbol" w:cs="Arial" w:hint="default"/>
      </w:rPr>
    </w:lvl>
    <w:lvl w:ilvl="3" w:tplc="9F9A5E06">
      <w:start w:val="8"/>
      <w:numFmt w:val="bullet"/>
      <w:lvlText w:val="-"/>
      <w:lvlJc w:val="left"/>
      <w:pPr>
        <w:tabs>
          <w:tab w:val="num" w:pos="3022"/>
        </w:tabs>
        <w:ind w:left="3022" w:hanging="360"/>
      </w:pPr>
      <w:rPr>
        <w:rFonts w:ascii="Times New Roman" w:eastAsia="Times New Roman" w:hAnsi="Times New Roman" w:cs="Times New Roman" w:hint="default"/>
      </w:r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 w15:restartNumberingAfterBreak="0">
    <w:nsid w:val="13501BA7"/>
    <w:multiLevelType w:val="hybridMultilevel"/>
    <w:tmpl w:val="107E12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3104A5"/>
    <w:multiLevelType w:val="hybridMultilevel"/>
    <w:tmpl w:val="C1A08A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9841EAB"/>
    <w:multiLevelType w:val="singleLevel"/>
    <w:tmpl w:val="0409000F"/>
    <w:lvl w:ilvl="0">
      <w:start w:val="1"/>
      <w:numFmt w:val="decimal"/>
      <w:pStyle w:val="i"/>
      <w:lvlText w:val="%1."/>
      <w:lvlJc w:val="left"/>
      <w:pPr>
        <w:tabs>
          <w:tab w:val="num" w:pos="360"/>
        </w:tabs>
        <w:ind w:left="360" w:hanging="360"/>
      </w:pPr>
    </w:lvl>
  </w:abstractNum>
  <w:abstractNum w:abstractNumId="7" w15:restartNumberingAfterBreak="0">
    <w:nsid w:val="1E5130E1"/>
    <w:multiLevelType w:val="hybridMultilevel"/>
    <w:tmpl w:val="D7DCCD7C"/>
    <w:lvl w:ilvl="0" w:tplc="C3E491CA">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C359FA"/>
    <w:multiLevelType w:val="hybridMultilevel"/>
    <w:tmpl w:val="0D18A3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EA4DE8"/>
    <w:multiLevelType w:val="hybridMultilevel"/>
    <w:tmpl w:val="144E7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893FE2"/>
    <w:multiLevelType w:val="hybridMultilevel"/>
    <w:tmpl w:val="29A85DEC"/>
    <w:lvl w:ilvl="0" w:tplc="1C090001">
      <w:start w:val="1"/>
      <w:numFmt w:val="bullet"/>
      <w:lvlText w:val=""/>
      <w:lvlJc w:val="left"/>
      <w:pPr>
        <w:ind w:left="787" w:hanging="360"/>
      </w:pPr>
      <w:rPr>
        <w:rFonts w:ascii="Symbol" w:hAnsi="Symbol" w:hint="default"/>
      </w:rPr>
    </w:lvl>
    <w:lvl w:ilvl="1" w:tplc="1C090003" w:tentative="1">
      <w:start w:val="1"/>
      <w:numFmt w:val="bullet"/>
      <w:lvlText w:val="o"/>
      <w:lvlJc w:val="left"/>
      <w:pPr>
        <w:ind w:left="1507" w:hanging="360"/>
      </w:pPr>
      <w:rPr>
        <w:rFonts w:ascii="Courier New" w:hAnsi="Courier New" w:cs="Courier New" w:hint="default"/>
      </w:rPr>
    </w:lvl>
    <w:lvl w:ilvl="2" w:tplc="1C090005" w:tentative="1">
      <w:start w:val="1"/>
      <w:numFmt w:val="bullet"/>
      <w:lvlText w:val=""/>
      <w:lvlJc w:val="left"/>
      <w:pPr>
        <w:ind w:left="2227" w:hanging="360"/>
      </w:pPr>
      <w:rPr>
        <w:rFonts w:ascii="Wingdings" w:hAnsi="Wingdings" w:hint="default"/>
      </w:rPr>
    </w:lvl>
    <w:lvl w:ilvl="3" w:tplc="1C090001" w:tentative="1">
      <w:start w:val="1"/>
      <w:numFmt w:val="bullet"/>
      <w:lvlText w:val=""/>
      <w:lvlJc w:val="left"/>
      <w:pPr>
        <w:ind w:left="2947" w:hanging="360"/>
      </w:pPr>
      <w:rPr>
        <w:rFonts w:ascii="Symbol" w:hAnsi="Symbol" w:hint="default"/>
      </w:rPr>
    </w:lvl>
    <w:lvl w:ilvl="4" w:tplc="1C090003" w:tentative="1">
      <w:start w:val="1"/>
      <w:numFmt w:val="bullet"/>
      <w:lvlText w:val="o"/>
      <w:lvlJc w:val="left"/>
      <w:pPr>
        <w:ind w:left="3667" w:hanging="360"/>
      </w:pPr>
      <w:rPr>
        <w:rFonts w:ascii="Courier New" w:hAnsi="Courier New" w:cs="Courier New" w:hint="default"/>
      </w:rPr>
    </w:lvl>
    <w:lvl w:ilvl="5" w:tplc="1C090005" w:tentative="1">
      <w:start w:val="1"/>
      <w:numFmt w:val="bullet"/>
      <w:lvlText w:val=""/>
      <w:lvlJc w:val="left"/>
      <w:pPr>
        <w:ind w:left="4387" w:hanging="360"/>
      </w:pPr>
      <w:rPr>
        <w:rFonts w:ascii="Wingdings" w:hAnsi="Wingdings" w:hint="default"/>
      </w:rPr>
    </w:lvl>
    <w:lvl w:ilvl="6" w:tplc="1C090001" w:tentative="1">
      <w:start w:val="1"/>
      <w:numFmt w:val="bullet"/>
      <w:lvlText w:val=""/>
      <w:lvlJc w:val="left"/>
      <w:pPr>
        <w:ind w:left="5107" w:hanging="360"/>
      </w:pPr>
      <w:rPr>
        <w:rFonts w:ascii="Symbol" w:hAnsi="Symbol" w:hint="default"/>
      </w:rPr>
    </w:lvl>
    <w:lvl w:ilvl="7" w:tplc="1C090003" w:tentative="1">
      <w:start w:val="1"/>
      <w:numFmt w:val="bullet"/>
      <w:lvlText w:val="o"/>
      <w:lvlJc w:val="left"/>
      <w:pPr>
        <w:ind w:left="5827" w:hanging="360"/>
      </w:pPr>
      <w:rPr>
        <w:rFonts w:ascii="Courier New" w:hAnsi="Courier New" w:cs="Courier New" w:hint="default"/>
      </w:rPr>
    </w:lvl>
    <w:lvl w:ilvl="8" w:tplc="1C090005" w:tentative="1">
      <w:start w:val="1"/>
      <w:numFmt w:val="bullet"/>
      <w:lvlText w:val=""/>
      <w:lvlJc w:val="left"/>
      <w:pPr>
        <w:ind w:left="6547" w:hanging="360"/>
      </w:pPr>
      <w:rPr>
        <w:rFonts w:ascii="Wingdings" w:hAnsi="Wingdings" w:hint="default"/>
      </w:rPr>
    </w:lvl>
  </w:abstractNum>
  <w:abstractNum w:abstractNumId="11" w15:restartNumberingAfterBreak="0">
    <w:nsid w:val="2F353588"/>
    <w:multiLevelType w:val="hybridMultilevel"/>
    <w:tmpl w:val="C5361A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1106F82"/>
    <w:multiLevelType w:val="hybridMultilevel"/>
    <w:tmpl w:val="1584BA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70E6196"/>
    <w:multiLevelType w:val="hybridMultilevel"/>
    <w:tmpl w:val="12161D32"/>
    <w:lvl w:ilvl="0" w:tplc="4852DA8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A7963AB"/>
    <w:multiLevelType w:val="hybridMultilevel"/>
    <w:tmpl w:val="B55E76CC"/>
    <w:lvl w:ilvl="0" w:tplc="6742C016">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AB2B2A"/>
    <w:multiLevelType w:val="hybridMultilevel"/>
    <w:tmpl w:val="1D2C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66662"/>
    <w:multiLevelType w:val="hybridMultilevel"/>
    <w:tmpl w:val="02D85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0046F2"/>
    <w:multiLevelType w:val="hybridMultilevel"/>
    <w:tmpl w:val="E21E425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ABF3BC1"/>
    <w:multiLevelType w:val="hybridMultilevel"/>
    <w:tmpl w:val="53BA91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B52540C"/>
    <w:multiLevelType w:val="hybridMultilevel"/>
    <w:tmpl w:val="A28C401E"/>
    <w:lvl w:ilvl="0" w:tplc="C3E491CA">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C9420A2"/>
    <w:multiLevelType w:val="hybridMultilevel"/>
    <w:tmpl w:val="1D92CF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0B45F06"/>
    <w:multiLevelType w:val="hybridMultilevel"/>
    <w:tmpl w:val="4E64CE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5C7764A"/>
    <w:multiLevelType w:val="hybridMultilevel"/>
    <w:tmpl w:val="8CAC42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16C4331"/>
    <w:multiLevelType w:val="hybridMultilevel"/>
    <w:tmpl w:val="C9E4D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9B750E"/>
    <w:multiLevelType w:val="hybridMultilevel"/>
    <w:tmpl w:val="0F8CEB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A01772D"/>
    <w:multiLevelType w:val="hybridMultilevel"/>
    <w:tmpl w:val="93B2904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AF173AF"/>
    <w:multiLevelType w:val="hybridMultilevel"/>
    <w:tmpl w:val="937A59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92B3AFF"/>
    <w:multiLevelType w:val="hybridMultilevel"/>
    <w:tmpl w:val="1772B6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9921CD3"/>
    <w:multiLevelType w:val="hybridMultilevel"/>
    <w:tmpl w:val="A120E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99D40D9"/>
    <w:multiLevelType w:val="hybridMultilevel"/>
    <w:tmpl w:val="1B20F2A2"/>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7A485F71"/>
    <w:multiLevelType w:val="hybridMultilevel"/>
    <w:tmpl w:val="794A7D34"/>
    <w:lvl w:ilvl="0" w:tplc="C3E491CA">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CD846A0"/>
    <w:multiLevelType w:val="hybridMultilevel"/>
    <w:tmpl w:val="B894A8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E1952B0"/>
    <w:multiLevelType w:val="hybridMultilevel"/>
    <w:tmpl w:val="FC7E30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3"/>
  </w:num>
  <w:num w:numId="3">
    <w:abstractNumId w:val="14"/>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5"/>
  </w:num>
  <w:num w:numId="17">
    <w:abstractNumId w:val="29"/>
  </w:num>
  <w:num w:numId="18">
    <w:abstractNumId w:val="13"/>
  </w:num>
  <w:num w:numId="19">
    <w:abstractNumId w:val="0"/>
  </w:num>
  <w:num w:numId="20">
    <w:abstractNumId w:val="9"/>
  </w:num>
  <w:num w:numId="21">
    <w:abstractNumId w:val="24"/>
  </w:num>
  <w:num w:numId="22">
    <w:abstractNumId w:val="30"/>
  </w:num>
  <w:num w:numId="23">
    <w:abstractNumId w:val="7"/>
  </w:num>
  <w:num w:numId="24">
    <w:abstractNumId w:val="19"/>
  </w:num>
  <w:num w:numId="25">
    <w:abstractNumId w:val="2"/>
  </w:num>
  <w:num w:numId="26">
    <w:abstractNumId w:val="28"/>
  </w:num>
  <w:num w:numId="27">
    <w:abstractNumId w:val="8"/>
  </w:num>
  <w:num w:numId="28">
    <w:abstractNumId w:val="10"/>
  </w:num>
  <w:num w:numId="29">
    <w:abstractNumId w:val="26"/>
  </w:num>
  <w:num w:numId="30">
    <w:abstractNumId w:val="16"/>
  </w:num>
  <w:num w:numId="31">
    <w:abstractNumId w:val="15"/>
  </w:num>
  <w:num w:numId="32">
    <w:abstractNumId w:val="23"/>
  </w:num>
  <w:num w:numId="33">
    <w:abstractNumId w:val="4"/>
  </w:num>
  <w:num w:numId="3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f" fillcolor="#fc9">
      <v:fill color="#fc9" color2="fill lighten(0)" on="f" focusposition=".5,.5" focussize="" method="linear sigma" type="gradientRadial"/>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7C"/>
    <w:rsid w:val="000007FA"/>
    <w:rsid w:val="000015D7"/>
    <w:rsid w:val="00022321"/>
    <w:rsid w:val="00027E79"/>
    <w:rsid w:val="00033E9C"/>
    <w:rsid w:val="00041ACA"/>
    <w:rsid w:val="00041CD7"/>
    <w:rsid w:val="00045A65"/>
    <w:rsid w:val="00051F32"/>
    <w:rsid w:val="000662A6"/>
    <w:rsid w:val="00074069"/>
    <w:rsid w:val="000770EC"/>
    <w:rsid w:val="000826F3"/>
    <w:rsid w:val="0008539D"/>
    <w:rsid w:val="00090C37"/>
    <w:rsid w:val="00092B81"/>
    <w:rsid w:val="00095DA9"/>
    <w:rsid w:val="000A5050"/>
    <w:rsid w:val="000B01CE"/>
    <w:rsid w:val="000C1BFF"/>
    <w:rsid w:val="000C67EC"/>
    <w:rsid w:val="000D2791"/>
    <w:rsid w:val="000D3BA6"/>
    <w:rsid w:val="000D4EB9"/>
    <w:rsid w:val="000D578C"/>
    <w:rsid w:val="000D7B7F"/>
    <w:rsid w:val="000E0C2D"/>
    <w:rsid w:val="000E1DB2"/>
    <w:rsid w:val="000E231F"/>
    <w:rsid w:val="000E5784"/>
    <w:rsid w:val="000F1218"/>
    <w:rsid w:val="000F3F21"/>
    <w:rsid w:val="0010407C"/>
    <w:rsid w:val="0010559A"/>
    <w:rsid w:val="001117CC"/>
    <w:rsid w:val="00121ABB"/>
    <w:rsid w:val="00134B1C"/>
    <w:rsid w:val="001400A6"/>
    <w:rsid w:val="00140DE4"/>
    <w:rsid w:val="00146DFF"/>
    <w:rsid w:val="00150230"/>
    <w:rsid w:val="001502B9"/>
    <w:rsid w:val="00151991"/>
    <w:rsid w:val="00162F1C"/>
    <w:rsid w:val="001631E3"/>
    <w:rsid w:val="00171253"/>
    <w:rsid w:val="00173F6D"/>
    <w:rsid w:val="001769BB"/>
    <w:rsid w:val="001A30BB"/>
    <w:rsid w:val="001A790A"/>
    <w:rsid w:val="001C37F2"/>
    <w:rsid w:val="001D0C35"/>
    <w:rsid w:val="001D4793"/>
    <w:rsid w:val="001D72EB"/>
    <w:rsid w:val="001E178E"/>
    <w:rsid w:val="001E6B06"/>
    <w:rsid w:val="002020CD"/>
    <w:rsid w:val="002114F4"/>
    <w:rsid w:val="002250C0"/>
    <w:rsid w:val="00225A89"/>
    <w:rsid w:val="002415A4"/>
    <w:rsid w:val="002442E6"/>
    <w:rsid w:val="00245FCB"/>
    <w:rsid w:val="002471E7"/>
    <w:rsid w:val="002519ED"/>
    <w:rsid w:val="00257679"/>
    <w:rsid w:val="00266C9E"/>
    <w:rsid w:val="00283B5F"/>
    <w:rsid w:val="00286A01"/>
    <w:rsid w:val="002A2766"/>
    <w:rsid w:val="002A64C3"/>
    <w:rsid w:val="002B1BC2"/>
    <w:rsid w:val="002D0FCA"/>
    <w:rsid w:val="002E01FF"/>
    <w:rsid w:val="002E2450"/>
    <w:rsid w:val="002F5648"/>
    <w:rsid w:val="00300A00"/>
    <w:rsid w:val="003029B5"/>
    <w:rsid w:val="00314CEB"/>
    <w:rsid w:val="0031771C"/>
    <w:rsid w:val="003214C0"/>
    <w:rsid w:val="00330692"/>
    <w:rsid w:val="003310AA"/>
    <w:rsid w:val="00363E0B"/>
    <w:rsid w:val="00366A6E"/>
    <w:rsid w:val="00370262"/>
    <w:rsid w:val="003775EA"/>
    <w:rsid w:val="00383546"/>
    <w:rsid w:val="00393C0A"/>
    <w:rsid w:val="00395B63"/>
    <w:rsid w:val="0039618E"/>
    <w:rsid w:val="003B25DA"/>
    <w:rsid w:val="003C436A"/>
    <w:rsid w:val="003C52B5"/>
    <w:rsid w:val="003C78BE"/>
    <w:rsid w:val="003D6A6F"/>
    <w:rsid w:val="003E54C5"/>
    <w:rsid w:val="003E6877"/>
    <w:rsid w:val="003F7DB9"/>
    <w:rsid w:val="004400E4"/>
    <w:rsid w:val="00447590"/>
    <w:rsid w:val="00455538"/>
    <w:rsid w:val="00460905"/>
    <w:rsid w:val="00460E9C"/>
    <w:rsid w:val="00461F4D"/>
    <w:rsid w:val="00474E83"/>
    <w:rsid w:val="004760FD"/>
    <w:rsid w:val="00480693"/>
    <w:rsid w:val="0048404A"/>
    <w:rsid w:val="004867A5"/>
    <w:rsid w:val="0049688E"/>
    <w:rsid w:val="004C2031"/>
    <w:rsid w:val="004D697D"/>
    <w:rsid w:val="004D760F"/>
    <w:rsid w:val="004E13CF"/>
    <w:rsid w:val="004F0A2E"/>
    <w:rsid w:val="0050605C"/>
    <w:rsid w:val="0053206A"/>
    <w:rsid w:val="005445AE"/>
    <w:rsid w:val="00572455"/>
    <w:rsid w:val="00576E9C"/>
    <w:rsid w:val="005C1517"/>
    <w:rsid w:val="005D17B0"/>
    <w:rsid w:val="005D4463"/>
    <w:rsid w:val="005D54B1"/>
    <w:rsid w:val="005F1218"/>
    <w:rsid w:val="005F1AD2"/>
    <w:rsid w:val="005F76C9"/>
    <w:rsid w:val="00604F26"/>
    <w:rsid w:val="00612E9F"/>
    <w:rsid w:val="00621B58"/>
    <w:rsid w:val="00632E80"/>
    <w:rsid w:val="00635652"/>
    <w:rsid w:val="00662549"/>
    <w:rsid w:val="00663950"/>
    <w:rsid w:val="00667E5E"/>
    <w:rsid w:val="0067510F"/>
    <w:rsid w:val="006766A1"/>
    <w:rsid w:val="006770A6"/>
    <w:rsid w:val="00686F09"/>
    <w:rsid w:val="006911E5"/>
    <w:rsid w:val="006A0246"/>
    <w:rsid w:val="006A71C2"/>
    <w:rsid w:val="006B461E"/>
    <w:rsid w:val="006C660F"/>
    <w:rsid w:val="006E5FE1"/>
    <w:rsid w:val="006F5017"/>
    <w:rsid w:val="00701AC5"/>
    <w:rsid w:val="00705405"/>
    <w:rsid w:val="00720333"/>
    <w:rsid w:val="00730E4C"/>
    <w:rsid w:val="00737B9D"/>
    <w:rsid w:val="00744488"/>
    <w:rsid w:val="00747285"/>
    <w:rsid w:val="00754BD3"/>
    <w:rsid w:val="007567C6"/>
    <w:rsid w:val="00780FAC"/>
    <w:rsid w:val="007954A5"/>
    <w:rsid w:val="007A2FF8"/>
    <w:rsid w:val="007A46C8"/>
    <w:rsid w:val="007B252B"/>
    <w:rsid w:val="007B2C54"/>
    <w:rsid w:val="007C65AB"/>
    <w:rsid w:val="007C7F40"/>
    <w:rsid w:val="007D2B72"/>
    <w:rsid w:val="007D6D07"/>
    <w:rsid w:val="007E096A"/>
    <w:rsid w:val="007E7CC4"/>
    <w:rsid w:val="007F41FA"/>
    <w:rsid w:val="00803036"/>
    <w:rsid w:val="008152AB"/>
    <w:rsid w:val="00816A5E"/>
    <w:rsid w:val="00816C84"/>
    <w:rsid w:val="00824A23"/>
    <w:rsid w:val="008462DA"/>
    <w:rsid w:val="008527F5"/>
    <w:rsid w:val="008562B7"/>
    <w:rsid w:val="0086086F"/>
    <w:rsid w:val="00860D3E"/>
    <w:rsid w:val="008616FB"/>
    <w:rsid w:val="00861777"/>
    <w:rsid w:val="00863111"/>
    <w:rsid w:val="008631A1"/>
    <w:rsid w:val="00882331"/>
    <w:rsid w:val="00884F81"/>
    <w:rsid w:val="008B6D0D"/>
    <w:rsid w:val="008C1344"/>
    <w:rsid w:val="008C3CC4"/>
    <w:rsid w:val="008C586F"/>
    <w:rsid w:val="008E12E4"/>
    <w:rsid w:val="008F3D84"/>
    <w:rsid w:val="008F6B03"/>
    <w:rsid w:val="009046EA"/>
    <w:rsid w:val="00911635"/>
    <w:rsid w:val="00930524"/>
    <w:rsid w:val="00931153"/>
    <w:rsid w:val="009336C5"/>
    <w:rsid w:val="009560CB"/>
    <w:rsid w:val="00987688"/>
    <w:rsid w:val="0099068A"/>
    <w:rsid w:val="009944AA"/>
    <w:rsid w:val="00997004"/>
    <w:rsid w:val="009A73A1"/>
    <w:rsid w:val="009B579E"/>
    <w:rsid w:val="009B6061"/>
    <w:rsid w:val="009C5DEE"/>
    <w:rsid w:val="009D0336"/>
    <w:rsid w:val="009D19EF"/>
    <w:rsid w:val="009D1F66"/>
    <w:rsid w:val="009D33AB"/>
    <w:rsid w:val="009F37BC"/>
    <w:rsid w:val="00A04766"/>
    <w:rsid w:val="00A0502D"/>
    <w:rsid w:val="00A13FB4"/>
    <w:rsid w:val="00A15286"/>
    <w:rsid w:val="00A339B3"/>
    <w:rsid w:val="00A372A0"/>
    <w:rsid w:val="00A4201E"/>
    <w:rsid w:val="00A50343"/>
    <w:rsid w:val="00A536A4"/>
    <w:rsid w:val="00A5575F"/>
    <w:rsid w:val="00A57253"/>
    <w:rsid w:val="00A656B5"/>
    <w:rsid w:val="00A65D9E"/>
    <w:rsid w:val="00A675DC"/>
    <w:rsid w:val="00A71A3F"/>
    <w:rsid w:val="00A777DE"/>
    <w:rsid w:val="00A81142"/>
    <w:rsid w:val="00A933F5"/>
    <w:rsid w:val="00AC6637"/>
    <w:rsid w:val="00AD401B"/>
    <w:rsid w:val="00AD65AD"/>
    <w:rsid w:val="00AE2CDB"/>
    <w:rsid w:val="00AE688F"/>
    <w:rsid w:val="00B12A5E"/>
    <w:rsid w:val="00B24922"/>
    <w:rsid w:val="00B25D85"/>
    <w:rsid w:val="00B3407D"/>
    <w:rsid w:val="00B367DB"/>
    <w:rsid w:val="00B413D6"/>
    <w:rsid w:val="00B522EF"/>
    <w:rsid w:val="00B566EF"/>
    <w:rsid w:val="00B569D4"/>
    <w:rsid w:val="00B57DC2"/>
    <w:rsid w:val="00B60C33"/>
    <w:rsid w:val="00B700CA"/>
    <w:rsid w:val="00B74388"/>
    <w:rsid w:val="00B815D9"/>
    <w:rsid w:val="00B836B5"/>
    <w:rsid w:val="00B86649"/>
    <w:rsid w:val="00B86F1E"/>
    <w:rsid w:val="00B96CD2"/>
    <w:rsid w:val="00BA140B"/>
    <w:rsid w:val="00BA3FDD"/>
    <w:rsid w:val="00BB2115"/>
    <w:rsid w:val="00BC114C"/>
    <w:rsid w:val="00BC3F04"/>
    <w:rsid w:val="00BD6DE6"/>
    <w:rsid w:val="00BE3616"/>
    <w:rsid w:val="00BE4506"/>
    <w:rsid w:val="00BF128F"/>
    <w:rsid w:val="00C003E5"/>
    <w:rsid w:val="00C118CB"/>
    <w:rsid w:val="00C175BA"/>
    <w:rsid w:val="00C23B51"/>
    <w:rsid w:val="00C63FA3"/>
    <w:rsid w:val="00C72021"/>
    <w:rsid w:val="00C86A67"/>
    <w:rsid w:val="00C958D6"/>
    <w:rsid w:val="00CA2B20"/>
    <w:rsid w:val="00CB0218"/>
    <w:rsid w:val="00CB4409"/>
    <w:rsid w:val="00CD0A32"/>
    <w:rsid w:val="00CD66C1"/>
    <w:rsid w:val="00CE4A5A"/>
    <w:rsid w:val="00CF55F1"/>
    <w:rsid w:val="00CF7341"/>
    <w:rsid w:val="00D021E2"/>
    <w:rsid w:val="00D05022"/>
    <w:rsid w:val="00D07876"/>
    <w:rsid w:val="00D25403"/>
    <w:rsid w:val="00D27226"/>
    <w:rsid w:val="00D364A9"/>
    <w:rsid w:val="00D37CF5"/>
    <w:rsid w:val="00D64351"/>
    <w:rsid w:val="00D77607"/>
    <w:rsid w:val="00D91060"/>
    <w:rsid w:val="00DA0926"/>
    <w:rsid w:val="00DB1222"/>
    <w:rsid w:val="00DB5F1A"/>
    <w:rsid w:val="00DC0011"/>
    <w:rsid w:val="00DC326B"/>
    <w:rsid w:val="00DC4176"/>
    <w:rsid w:val="00DD0957"/>
    <w:rsid w:val="00DD1781"/>
    <w:rsid w:val="00DD3181"/>
    <w:rsid w:val="00DD4683"/>
    <w:rsid w:val="00DE3597"/>
    <w:rsid w:val="00DE3F26"/>
    <w:rsid w:val="00DF158F"/>
    <w:rsid w:val="00DF404D"/>
    <w:rsid w:val="00E0355E"/>
    <w:rsid w:val="00E05CD5"/>
    <w:rsid w:val="00E13BC4"/>
    <w:rsid w:val="00E161F8"/>
    <w:rsid w:val="00E21B6C"/>
    <w:rsid w:val="00E2264E"/>
    <w:rsid w:val="00E52B81"/>
    <w:rsid w:val="00E54467"/>
    <w:rsid w:val="00E663DF"/>
    <w:rsid w:val="00E66880"/>
    <w:rsid w:val="00E764A7"/>
    <w:rsid w:val="00E84AC1"/>
    <w:rsid w:val="00EA5F9F"/>
    <w:rsid w:val="00EB7A73"/>
    <w:rsid w:val="00ED4D39"/>
    <w:rsid w:val="00EE2FE7"/>
    <w:rsid w:val="00EF1CA0"/>
    <w:rsid w:val="00EF293F"/>
    <w:rsid w:val="00F03AA2"/>
    <w:rsid w:val="00F1549D"/>
    <w:rsid w:val="00F15768"/>
    <w:rsid w:val="00F4139C"/>
    <w:rsid w:val="00F432F1"/>
    <w:rsid w:val="00F44DFB"/>
    <w:rsid w:val="00F47DF3"/>
    <w:rsid w:val="00F51BA5"/>
    <w:rsid w:val="00F716AA"/>
    <w:rsid w:val="00F72A1C"/>
    <w:rsid w:val="00FA6D76"/>
    <w:rsid w:val="00FB7314"/>
    <w:rsid w:val="00FC0CE7"/>
    <w:rsid w:val="00FC13D8"/>
    <w:rsid w:val="00FC187E"/>
    <w:rsid w:val="00FD5E6D"/>
    <w:rsid w:val="00FE53C2"/>
    <w:rsid w:val="00FE5645"/>
    <w:rsid w:val="00FE6AAB"/>
    <w:rsid w:val="00FF39C8"/>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fc9">
      <v:fill color="#fc9" color2="fill lighten(0)" on="f" focusposition=".5,.5" focussize="" method="linear sigma" type="gradientRadial"/>
    </o:shapedefaults>
    <o:shapelayout v:ext="edit">
      <o:idmap v:ext="edit" data="1"/>
    </o:shapelayout>
  </w:shapeDefaults>
  <w:decimalSymbol w:val=","/>
  <w:listSeparator w:val=","/>
  <w14:docId w14:val="5452CAA3"/>
  <w15:docId w15:val="{54EEC174-F612-46A5-B0A2-B0DD8450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17"/>
    </w:rPr>
  </w:style>
  <w:style w:type="paragraph" w:styleId="Heading3">
    <w:name w:val="heading 3"/>
    <w:basedOn w:val="Normal"/>
    <w:next w:val="Normal"/>
    <w:qFormat/>
    <w:pPr>
      <w:keepNext/>
      <w:jc w:val="center"/>
      <w:outlineLvl w:val="2"/>
    </w:pPr>
    <w:rPr>
      <w:i/>
      <w:sz w:val="17"/>
    </w:rPr>
  </w:style>
  <w:style w:type="paragraph" w:styleId="Heading4">
    <w:name w:val="heading 4"/>
    <w:basedOn w:val="Normal"/>
    <w:next w:val="Normal"/>
    <w:qFormat/>
    <w:pPr>
      <w:keepNext/>
      <w:jc w:val="both"/>
      <w:outlineLvl w:val="3"/>
    </w:pPr>
    <w:rPr>
      <w:b/>
      <w:sz w:val="16"/>
    </w:rPr>
  </w:style>
  <w:style w:type="paragraph" w:styleId="Heading5">
    <w:name w:val="heading 5"/>
    <w:basedOn w:val="Normal"/>
    <w:next w:val="Normal"/>
    <w:qFormat/>
    <w:pPr>
      <w:keepNext/>
      <w:tabs>
        <w:tab w:val="center" w:pos="5387"/>
      </w:tabs>
      <w:jc w:val="center"/>
      <w:outlineLvl w:val="4"/>
    </w:pPr>
    <w:rPr>
      <w:b/>
      <w:sz w:val="28"/>
    </w:rPr>
  </w:style>
  <w:style w:type="paragraph" w:styleId="Heading6">
    <w:name w:val="heading 6"/>
    <w:basedOn w:val="Normal"/>
    <w:next w:val="Normal"/>
    <w:qFormat/>
    <w:pPr>
      <w:keepNext/>
      <w:widowControl w:val="0"/>
      <w:outlineLvl w:val="5"/>
    </w:pPr>
    <w:rPr>
      <w:b/>
      <w:snapToGrid w:val="0"/>
      <w:sz w:val="22"/>
    </w:rPr>
  </w:style>
  <w:style w:type="paragraph" w:styleId="Heading7">
    <w:name w:val="heading 7"/>
    <w:basedOn w:val="Normal"/>
    <w:next w:val="Normal"/>
    <w:qFormat/>
    <w:pPr>
      <w:keepNext/>
      <w:spacing w:line="360" w:lineRule="auto"/>
      <w:jc w:val="center"/>
      <w:outlineLvl w:val="6"/>
    </w:pPr>
    <w:rPr>
      <w:b/>
      <w:i/>
      <w:color w:val="0000FF"/>
    </w:rPr>
  </w:style>
  <w:style w:type="paragraph" w:styleId="Heading8">
    <w:name w:val="heading 8"/>
    <w:basedOn w:val="Normal"/>
    <w:next w:val="Normal"/>
    <w:qFormat/>
    <w:pPr>
      <w:keepNext/>
      <w:spacing w:line="480" w:lineRule="auto"/>
      <w:jc w:val="center"/>
      <w:outlineLvl w:val="7"/>
    </w:pPr>
    <w:rPr>
      <w:b/>
      <w:caps/>
      <w:u w:val="single"/>
    </w:rPr>
  </w:style>
  <w:style w:type="paragraph" w:styleId="Heading9">
    <w:name w:val="heading 9"/>
    <w:basedOn w:val="Normal"/>
    <w:next w:val="Normal"/>
    <w:qFormat/>
    <w:pPr>
      <w:keepNext/>
      <w:widowControl w:val="0"/>
      <w:jc w:val="both"/>
      <w:outlineLvl w:val="8"/>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Indent">
    <w:name w:val="Body Text Indent"/>
    <w:basedOn w:val="Normal"/>
    <w:pPr>
      <w:tabs>
        <w:tab w:val="left" w:pos="-1440"/>
      </w:tabs>
      <w:spacing w:line="360" w:lineRule="auto"/>
      <w:ind w:left="720" w:hanging="709"/>
      <w:jc w:val="both"/>
    </w:pPr>
  </w:style>
  <w:style w:type="paragraph" w:styleId="Title">
    <w:name w:val="Title"/>
    <w:basedOn w:val="Normal"/>
    <w:qFormat/>
    <w:pPr>
      <w:widowControl w:val="0"/>
      <w:tabs>
        <w:tab w:val="center" w:pos="4513"/>
      </w:tabs>
      <w:jc w:val="center"/>
    </w:pPr>
    <w:rPr>
      <w:rFonts w:ascii="Courier" w:hAnsi="Courier"/>
      <w:b/>
      <w:snapToGrid w:val="0"/>
      <w:sz w:val="24"/>
    </w:rPr>
  </w:style>
  <w:style w:type="paragraph" w:styleId="Header">
    <w:name w:val="header"/>
    <w:aliases w:val="wcp_Header,Header_En tete,Header Char Char Char,Header Char Char Char Char Char Char Char Char Char Char Char Char,Header Char Char Char Char Char Char Char,Header Char Char Char Char Char Char,Header Char Char Char Char"/>
    <w:basedOn w:val="Normal"/>
    <w:link w:val="HeaderChar"/>
    <w:pPr>
      <w:widowControl w:val="0"/>
      <w:tabs>
        <w:tab w:val="center" w:pos="4320"/>
        <w:tab w:val="right" w:pos="8640"/>
      </w:tabs>
    </w:pPr>
    <w:rPr>
      <w:rFonts w:ascii="Courier" w:hAnsi="Courier"/>
      <w:snapToGrid w:val="0"/>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widowControl w:val="0"/>
    </w:pPr>
    <w:rPr>
      <w:b/>
      <w:i/>
      <w:snapToGrid w:val="0"/>
    </w:rPr>
  </w:style>
  <w:style w:type="paragraph" w:styleId="BodyText2">
    <w:name w:val="Body Text 2"/>
    <w:basedOn w:val="Normal"/>
    <w:pPr>
      <w:widowControl w:val="0"/>
      <w:spacing w:after="19"/>
    </w:pPr>
    <w:rPr>
      <w:b/>
      <w:caps/>
      <w:snapToGrid w:val="0"/>
    </w:rPr>
  </w:style>
  <w:style w:type="paragraph" w:styleId="BlockText">
    <w:name w:val="Block Text"/>
    <w:basedOn w:val="Normal"/>
    <w:pPr>
      <w:widowControl w:val="0"/>
      <w:ind w:left="1440" w:right="720"/>
      <w:jc w:val="both"/>
    </w:pPr>
    <w:rPr>
      <w:b/>
      <w:snapToGrid w:val="0"/>
      <w:sz w:val="17"/>
    </w:rPr>
  </w:style>
  <w:style w:type="paragraph" w:styleId="BodyTextIndent2">
    <w:name w:val="Body Text Indent 2"/>
    <w:basedOn w:val="Normal"/>
    <w:pPr>
      <w:spacing w:line="360" w:lineRule="auto"/>
      <w:ind w:left="720"/>
    </w:pPr>
  </w:style>
  <w:style w:type="paragraph" w:customStyle="1" w:styleId="DefaultText">
    <w:name w:val="Default Text"/>
    <w:basedOn w:val="Normal"/>
  </w:style>
  <w:style w:type="paragraph" w:customStyle="1" w:styleId="TableText">
    <w:name w:val="Table Text"/>
    <w:basedOn w:val="Normal"/>
    <w:pPr>
      <w:tabs>
        <w:tab w:val="decimal" w:pos="0"/>
      </w:tabs>
    </w:pPr>
  </w:style>
  <w:style w:type="paragraph" w:customStyle="1" w:styleId="i">
    <w:name w:val="i"/>
    <w:aliases w:val="ii,iii"/>
    <w:basedOn w:val="Normal"/>
    <w:pPr>
      <w:widowControl w:val="0"/>
      <w:numPr>
        <w:numId w:val="1"/>
      </w:numPr>
      <w:ind w:left="720" w:hanging="720"/>
    </w:pPr>
    <w:rPr>
      <w:rFonts w:ascii="Courier" w:hAnsi="Courier"/>
      <w:snapToGrid w:val="0"/>
      <w:sz w:val="24"/>
    </w:rPr>
  </w:style>
  <w:style w:type="paragraph" w:styleId="Caption">
    <w:name w:val="caption"/>
    <w:basedOn w:val="Normal"/>
    <w:next w:val="Normal"/>
    <w:qFormat/>
    <w:pPr>
      <w:spacing w:line="360" w:lineRule="auto"/>
      <w:ind w:right="43"/>
      <w:jc w:val="both"/>
    </w:pPr>
    <w:rPr>
      <w:b/>
      <w:bCs/>
      <w:i/>
      <w:iCs/>
      <w:sz w:val="16"/>
    </w:rPr>
  </w:style>
  <w:style w:type="paragraph" w:styleId="BodyTextIndent3">
    <w:name w:val="Body Text Indent 3"/>
    <w:basedOn w:val="Normal"/>
    <w:pPr>
      <w:ind w:left="720" w:hanging="720"/>
      <w:jc w:val="both"/>
    </w:pPr>
    <w:rPr>
      <w:b/>
      <w:sz w:val="17"/>
    </w:rPr>
  </w:style>
  <w:style w:type="character" w:customStyle="1" w:styleId="InitialStyle">
    <w:name w:val="InitialStyle"/>
    <w:rPr>
      <w:rFonts w:ascii="Courier New" w:hAnsi="Courier New" w:cs="Courier New"/>
    </w:rPr>
  </w:style>
  <w:style w:type="table" w:styleId="TableGrid">
    <w:name w:val="Table Grid"/>
    <w:basedOn w:val="TableNormal"/>
    <w:rsid w:val="00DC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8404A"/>
    <w:rPr>
      <w:sz w:val="16"/>
      <w:szCs w:val="16"/>
    </w:rPr>
  </w:style>
  <w:style w:type="paragraph" w:styleId="CommentText">
    <w:name w:val="annotation text"/>
    <w:basedOn w:val="Normal"/>
    <w:link w:val="CommentTextChar"/>
    <w:uiPriority w:val="99"/>
    <w:rsid w:val="0048404A"/>
  </w:style>
  <w:style w:type="character" w:customStyle="1" w:styleId="CommentTextChar">
    <w:name w:val="Comment Text Char"/>
    <w:link w:val="CommentText"/>
    <w:uiPriority w:val="99"/>
    <w:rsid w:val="0048404A"/>
    <w:rPr>
      <w:rFonts w:ascii="Arial" w:hAnsi="Arial"/>
      <w:lang w:val="en-US" w:eastAsia="en-US"/>
    </w:rPr>
  </w:style>
  <w:style w:type="paragraph" w:styleId="CommentSubject">
    <w:name w:val="annotation subject"/>
    <w:basedOn w:val="CommentText"/>
    <w:next w:val="CommentText"/>
    <w:link w:val="CommentSubjectChar"/>
    <w:rsid w:val="0048404A"/>
    <w:rPr>
      <w:b/>
      <w:bCs/>
    </w:rPr>
  </w:style>
  <w:style w:type="character" w:customStyle="1" w:styleId="CommentSubjectChar">
    <w:name w:val="Comment Subject Char"/>
    <w:link w:val="CommentSubject"/>
    <w:rsid w:val="0048404A"/>
    <w:rPr>
      <w:rFonts w:ascii="Arial" w:hAnsi="Arial"/>
      <w:b/>
      <w:bCs/>
      <w:lang w:val="en-US" w:eastAsia="en-US"/>
    </w:rPr>
  </w:style>
  <w:style w:type="paragraph" w:styleId="BalloonText">
    <w:name w:val="Balloon Text"/>
    <w:basedOn w:val="Normal"/>
    <w:link w:val="BalloonTextChar"/>
    <w:rsid w:val="0048404A"/>
    <w:rPr>
      <w:rFonts w:ascii="Tahoma" w:hAnsi="Tahoma" w:cs="Tahoma"/>
      <w:sz w:val="16"/>
      <w:szCs w:val="16"/>
    </w:rPr>
  </w:style>
  <w:style w:type="character" w:customStyle="1" w:styleId="BalloonTextChar">
    <w:name w:val="Balloon Text Char"/>
    <w:link w:val="BalloonText"/>
    <w:rsid w:val="0048404A"/>
    <w:rPr>
      <w:rFonts w:ascii="Tahoma" w:hAnsi="Tahoma" w:cs="Tahoma"/>
      <w:sz w:val="16"/>
      <w:szCs w:val="16"/>
      <w:lang w:val="en-US" w:eastAsia="en-US"/>
    </w:rPr>
  </w:style>
  <w:style w:type="character" w:customStyle="1" w:styleId="HeaderChar">
    <w:name w:val="Header Char"/>
    <w:aliases w:val="wcp_Header Char,Header_En tete Char,Header Char Char Char Char1,Header Char Char Char Char Char Char Char Char Char Char Char Char Char,Header Char Char Char Char Char Char Char Char,Header Char Char Char Char Char Char Char1"/>
    <w:link w:val="Header"/>
    <w:uiPriority w:val="99"/>
    <w:rsid w:val="00BD6DE6"/>
    <w:rPr>
      <w:rFonts w:ascii="Courier" w:hAnsi="Courier"/>
      <w:snapToGrid w:val="0"/>
      <w:sz w:val="24"/>
      <w:lang w:val="en-US" w:eastAsia="en-US"/>
    </w:rPr>
  </w:style>
  <w:style w:type="paragraph" w:styleId="ListParagraph">
    <w:name w:val="List Paragraph"/>
    <w:basedOn w:val="Normal"/>
    <w:uiPriority w:val="34"/>
    <w:qFormat/>
    <w:rsid w:val="00CD66C1"/>
    <w:pPr>
      <w:ind w:left="720"/>
    </w:pPr>
    <w:rPr>
      <w:rFonts w:ascii="Calibri" w:eastAsia="Calibri" w:hAnsi="Calibri"/>
      <w:sz w:val="22"/>
      <w:szCs w:val="22"/>
      <w:lang w:val="en-ZA"/>
    </w:rPr>
  </w:style>
  <w:style w:type="paragraph" w:customStyle="1" w:styleId="norm1">
    <w:name w:val="norm1"/>
    <w:basedOn w:val="Normal"/>
    <w:rsid w:val="002D0FCA"/>
    <w:pPr>
      <w:tabs>
        <w:tab w:val="left" w:pos="454"/>
      </w:tabs>
      <w:autoSpaceDE w:val="0"/>
      <w:autoSpaceDN w:val="0"/>
      <w:adjustRightInd w:val="0"/>
      <w:spacing w:line="360" w:lineRule="auto"/>
      <w:ind w:left="454" w:hanging="454"/>
      <w:jc w:val="both"/>
    </w:pPr>
    <w:rPr>
      <w:rFonts w:cs="Arial"/>
    </w:rPr>
  </w:style>
  <w:style w:type="character" w:customStyle="1" w:styleId="FooterChar">
    <w:name w:val="Footer Char"/>
    <w:link w:val="Footer"/>
    <w:uiPriority w:val="99"/>
    <w:rsid w:val="008631A1"/>
    <w:rPr>
      <w:rFonts w:ascii="Arial" w:hAnsi="Arial"/>
      <w:lang w:val="en-US" w:eastAsia="en-US"/>
    </w:rPr>
  </w:style>
  <w:style w:type="character" w:styleId="Hyperlink">
    <w:name w:val="Hyperlink"/>
    <w:rsid w:val="00824A23"/>
    <w:rPr>
      <w:color w:val="0000FF"/>
      <w:u w:val="single"/>
    </w:rPr>
  </w:style>
  <w:style w:type="character" w:styleId="FollowedHyperlink">
    <w:name w:val="FollowedHyperlink"/>
    <w:rsid w:val="00824A23"/>
    <w:rPr>
      <w:color w:val="800080"/>
      <w:u w:val="single"/>
    </w:rPr>
  </w:style>
  <w:style w:type="paragraph" w:styleId="Revision">
    <w:name w:val="Revision"/>
    <w:hidden/>
    <w:uiPriority w:val="99"/>
    <w:semiHidden/>
    <w:rsid w:val="001D72EB"/>
    <w:rPr>
      <w:rFonts w:ascii="Arial" w:hAnsi="Arial"/>
      <w:lang w:val="en-US" w:eastAsia="en-US"/>
    </w:rPr>
  </w:style>
  <w:style w:type="paragraph" w:customStyle="1" w:styleId="Default">
    <w:name w:val="Default"/>
    <w:rsid w:val="005D17B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701">
      <w:bodyDiv w:val="1"/>
      <w:marLeft w:val="0"/>
      <w:marRight w:val="0"/>
      <w:marTop w:val="0"/>
      <w:marBottom w:val="0"/>
      <w:divBdr>
        <w:top w:val="none" w:sz="0" w:space="0" w:color="auto"/>
        <w:left w:val="none" w:sz="0" w:space="0" w:color="auto"/>
        <w:bottom w:val="none" w:sz="0" w:space="0" w:color="auto"/>
        <w:right w:val="none" w:sz="0" w:space="0" w:color="auto"/>
      </w:divBdr>
    </w:div>
    <w:div w:id="789395009">
      <w:bodyDiv w:val="1"/>
      <w:marLeft w:val="0"/>
      <w:marRight w:val="0"/>
      <w:marTop w:val="0"/>
      <w:marBottom w:val="0"/>
      <w:divBdr>
        <w:top w:val="none" w:sz="0" w:space="0" w:color="auto"/>
        <w:left w:val="none" w:sz="0" w:space="0" w:color="auto"/>
        <w:bottom w:val="none" w:sz="0" w:space="0" w:color="auto"/>
        <w:right w:val="none" w:sz="0" w:space="0" w:color="auto"/>
      </w:divBdr>
    </w:div>
    <w:div w:id="820002792">
      <w:bodyDiv w:val="1"/>
      <w:marLeft w:val="0"/>
      <w:marRight w:val="0"/>
      <w:marTop w:val="0"/>
      <w:marBottom w:val="0"/>
      <w:divBdr>
        <w:top w:val="none" w:sz="0" w:space="0" w:color="auto"/>
        <w:left w:val="none" w:sz="0" w:space="0" w:color="auto"/>
        <w:bottom w:val="none" w:sz="0" w:space="0" w:color="auto"/>
        <w:right w:val="none" w:sz="0" w:space="0" w:color="auto"/>
      </w:divBdr>
    </w:div>
    <w:div w:id="84570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D43C592FF4F428E393FE573D0D7CE" ma:contentTypeVersion="9" ma:contentTypeDescription="Create a new document." ma:contentTypeScope="" ma:versionID="6cf030799c1308a9fc12db62e3786898">
  <xsd:schema xmlns:xsd="http://www.w3.org/2001/XMLSchema" xmlns:xs="http://www.w3.org/2001/XMLSchema" xmlns:p="http://schemas.microsoft.com/office/2006/metadata/properties" xmlns:ns2="47573670-3d97-40c9-8872-06e0081297c0" xmlns:ns3="a02ec430-37bf-40b1-877e-6bc7d40b4957" targetNamespace="http://schemas.microsoft.com/office/2006/metadata/properties" ma:root="true" ma:fieldsID="2a7d2d4b22b03f84e96a90c7489b3777" ns2:_="" ns3:_="">
    <xsd:import namespace="47573670-3d97-40c9-8872-06e0081297c0"/>
    <xsd:import namespace="a02ec430-37bf-40b1-877e-6bc7d40b49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73670-3d97-40c9-8872-06e008129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2ec430-37bf-40b1-877e-6bc7d40b49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73F99-8AF5-4D98-A599-5F999141344B}">
  <ds:schemaRefs>
    <ds:schemaRef ds:uri="http://schemas.microsoft.com/sharepoint/v3/contenttype/forms"/>
  </ds:schemaRefs>
</ds:datastoreItem>
</file>

<file path=customXml/itemProps2.xml><?xml version="1.0" encoding="utf-8"?>
<ds:datastoreItem xmlns:ds="http://schemas.openxmlformats.org/officeDocument/2006/customXml" ds:itemID="{6B0C6B32-D580-4613-9DBE-1F3DA8A121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D42CD2-C6B3-468E-AC26-88ED01737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73670-3d97-40c9-8872-06e0081297c0"/>
    <ds:schemaRef ds:uri="a02ec430-37bf-40b1-877e-6bc7d40b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E0535-15CE-49B8-AC20-9A0462FD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vt:lpstr>
    </vt:vector>
  </TitlesOfParts>
  <Company>GAREC</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R&amp;D</dc:creator>
  <cp:keywords/>
  <cp:lastModifiedBy>Bianca Baxen</cp:lastModifiedBy>
  <cp:revision>2</cp:revision>
  <cp:lastPrinted>2019-04-09T05:44:00Z</cp:lastPrinted>
  <dcterms:created xsi:type="dcterms:W3CDTF">2022-01-27T19:30:00Z</dcterms:created>
  <dcterms:modified xsi:type="dcterms:W3CDTF">2022-01-27T19:30:00Z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0x010100203D43C592FF4F428E393FE573D0D7CE</vt:lpwstr>
  </property>
</Properties>
</file>